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9E" w:rsidRPr="00CE037A" w:rsidRDefault="0052139E" w:rsidP="00764B16">
      <w:pPr>
        <w:pStyle w:val="berschrift2"/>
        <w:rPr>
          <w:rFonts w:asciiTheme="minorHAnsi" w:hAnsiTheme="minorHAnsi"/>
        </w:rPr>
      </w:pPr>
      <w:bookmarkStart w:id="0" w:name="_Toc486154092"/>
      <w:bookmarkStart w:id="1" w:name="_GoBack"/>
      <w:bookmarkEnd w:id="1"/>
      <w:r w:rsidRPr="00CE037A">
        <w:rPr>
          <w:rFonts w:asciiTheme="minorHAnsi" w:hAnsiTheme="minorHAnsi"/>
        </w:rPr>
        <w:t xml:space="preserve">Beurteilungsdokumentation </w:t>
      </w:r>
      <w:r w:rsidR="00B46CDC" w:rsidRPr="00CE037A">
        <w:rPr>
          <w:rFonts w:asciiTheme="minorHAnsi" w:hAnsiTheme="minorHAnsi"/>
        </w:rPr>
        <w:t>Technisches und Textiles</w:t>
      </w:r>
      <w:r w:rsidR="007474E0" w:rsidRPr="00CE037A">
        <w:rPr>
          <w:rFonts w:asciiTheme="minorHAnsi" w:hAnsiTheme="minorHAnsi"/>
        </w:rPr>
        <w:t xml:space="preserve"> Gestalten </w:t>
      </w:r>
      <w:r w:rsidRPr="00CE037A">
        <w:rPr>
          <w:rFonts w:asciiTheme="minorHAnsi" w:hAnsiTheme="minorHAnsi"/>
        </w:rPr>
        <w:t>während eines Schuljahres</w:t>
      </w:r>
      <w:bookmarkEnd w:id="0"/>
      <w:r w:rsidR="007474E0" w:rsidRPr="00CE037A">
        <w:rPr>
          <w:rFonts w:asciiTheme="minorHAnsi" w:hAnsiTheme="minorHAnsi"/>
        </w:rPr>
        <w:t xml:space="preserve"> (für Zyklus 2 und </w:t>
      </w:r>
      <w:r w:rsidR="00E7326E" w:rsidRPr="00CE037A">
        <w:rPr>
          <w:rFonts w:asciiTheme="minorHAnsi" w:hAnsiTheme="minorHAnsi"/>
        </w:rPr>
        <w:t>Zyklus 3</w:t>
      </w:r>
      <w:r w:rsidR="007474E0" w:rsidRPr="00CE037A">
        <w:rPr>
          <w:rFonts w:asciiTheme="minorHAnsi" w:hAnsiTheme="minorHAnsi"/>
        </w:rPr>
        <w:t>)</w:t>
      </w:r>
    </w:p>
    <w:p w:rsidR="0052139E" w:rsidRPr="00CE037A" w:rsidRDefault="0052139E" w:rsidP="0052139E">
      <w:pPr>
        <w:rPr>
          <w:rFonts w:cstheme="minorHAnsi"/>
          <w:sz w:val="18"/>
          <w:szCs w:val="18"/>
        </w:rPr>
      </w:pPr>
    </w:p>
    <w:p w:rsidR="0052139E" w:rsidRPr="00CE037A" w:rsidRDefault="0052139E" w:rsidP="0052139E">
      <w:pPr>
        <w:rPr>
          <w:rFonts w:cstheme="minorHAnsi"/>
          <w:sz w:val="20"/>
          <w:szCs w:val="20"/>
        </w:rPr>
      </w:pPr>
      <w:r w:rsidRPr="00CE037A">
        <w:rPr>
          <w:rFonts w:cstheme="minorHAnsi"/>
          <w:sz w:val="20"/>
          <w:szCs w:val="20"/>
        </w:rPr>
        <w:t xml:space="preserve">Die Dokumentation bietet eine Übersicht über alle </w:t>
      </w:r>
      <w:proofErr w:type="spellStart"/>
      <w:r w:rsidRPr="00CE037A">
        <w:rPr>
          <w:rFonts w:cstheme="minorHAnsi"/>
          <w:sz w:val="20"/>
          <w:szCs w:val="20"/>
        </w:rPr>
        <w:t>summativen</w:t>
      </w:r>
      <w:proofErr w:type="spellEnd"/>
      <w:r w:rsidRPr="00CE037A">
        <w:rPr>
          <w:rFonts w:cstheme="minorHAnsi"/>
          <w:sz w:val="20"/>
          <w:szCs w:val="20"/>
        </w:rPr>
        <w:t xml:space="preserve"> Beurteilungsgegenstände. Das Papier wird vom Kanton empfohlen, ist also nicht verbindlich. Funktionen der Übersicht:</w:t>
      </w:r>
    </w:p>
    <w:p w:rsidR="0052139E" w:rsidRPr="00CE037A" w:rsidRDefault="0052139E" w:rsidP="0052139E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037A">
        <w:rPr>
          <w:rFonts w:asciiTheme="minorHAnsi" w:hAnsiTheme="minorHAnsi" w:cstheme="minorHAnsi"/>
          <w:sz w:val="20"/>
          <w:szCs w:val="20"/>
        </w:rPr>
        <w:t xml:space="preserve">Lehrpersonen notieren alle </w:t>
      </w:r>
      <w:proofErr w:type="spellStart"/>
      <w:r w:rsidRPr="00CE037A">
        <w:rPr>
          <w:rFonts w:asciiTheme="minorHAnsi" w:hAnsiTheme="minorHAnsi" w:cstheme="minorHAnsi"/>
          <w:sz w:val="20"/>
          <w:szCs w:val="20"/>
        </w:rPr>
        <w:t>summativen</w:t>
      </w:r>
      <w:proofErr w:type="spellEnd"/>
      <w:r w:rsidRPr="00CE037A">
        <w:rPr>
          <w:rFonts w:asciiTheme="minorHAnsi" w:hAnsiTheme="minorHAnsi" w:cstheme="minorHAnsi"/>
          <w:sz w:val="20"/>
          <w:szCs w:val="20"/>
        </w:rPr>
        <w:t xml:space="preserve"> Beurteilungssituationen und beziehen sich mit diesem Raster auf vergleichbare Grundlagen. </w:t>
      </w:r>
    </w:p>
    <w:p w:rsidR="0052139E" w:rsidRPr="00CE037A" w:rsidRDefault="0052139E" w:rsidP="0052139E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037A">
        <w:rPr>
          <w:rFonts w:asciiTheme="minorHAnsi" w:hAnsiTheme="minorHAnsi" w:cstheme="minorHAnsi"/>
          <w:sz w:val="20"/>
          <w:szCs w:val="20"/>
        </w:rPr>
        <w:t xml:space="preserve">Sie haben zusätzlich zu ihren formativen Beobachtungen und Einschätzungen im Unterrichtsverlauf auch </w:t>
      </w:r>
      <w:proofErr w:type="spellStart"/>
      <w:r w:rsidRPr="00CE037A">
        <w:rPr>
          <w:rFonts w:asciiTheme="minorHAnsi" w:hAnsiTheme="minorHAnsi" w:cstheme="minorHAnsi"/>
          <w:sz w:val="20"/>
          <w:szCs w:val="20"/>
        </w:rPr>
        <w:t>summativ</w:t>
      </w:r>
      <w:proofErr w:type="spellEnd"/>
      <w:r w:rsidRPr="00CE037A">
        <w:rPr>
          <w:rFonts w:asciiTheme="minorHAnsi" w:hAnsiTheme="minorHAnsi" w:cstheme="minorHAnsi"/>
          <w:sz w:val="20"/>
          <w:szCs w:val="20"/>
        </w:rPr>
        <w:t xml:space="preserve"> einen Überblick über den individuellen Leistungsverlauf. </w:t>
      </w:r>
    </w:p>
    <w:p w:rsidR="0052139E" w:rsidRPr="00CE037A" w:rsidRDefault="0052139E" w:rsidP="0052139E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037A">
        <w:rPr>
          <w:rFonts w:asciiTheme="minorHAnsi" w:hAnsiTheme="minorHAnsi" w:cstheme="minorHAnsi"/>
          <w:sz w:val="20"/>
          <w:szCs w:val="20"/>
        </w:rPr>
        <w:t>Die Dokumentation kann in Gesprächen mit den Lernenden, mit den Eltern, mit Kollegen/-innen, bei Empfehlungen, prognostischen Beurteilungen u.a. eine wichtige und nützliche Grundlage sein.</w:t>
      </w:r>
    </w:p>
    <w:p w:rsidR="0052139E" w:rsidRPr="00CE037A" w:rsidRDefault="0052139E" w:rsidP="0052139E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037A">
        <w:rPr>
          <w:rFonts w:asciiTheme="minorHAnsi" w:hAnsiTheme="minorHAnsi" w:cstheme="minorHAnsi"/>
          <w:sz w:val="20"/>
          <w:szCs w:val="20"/>
        </w:rPr>
        <w:t xml:space="preserve">Die Dokumentation wird über einen längeren Zeitraum (mind. 1 </w:t>
      </w:r>
      <w:proofErr w:type="gramStart"/>
      <w:r w:rsidRPr="00CE037A">
        <w:rPr>
          <w:rFonts w:asciiTheme="minorHAnsi" w:hAnsiTheme="minorHAnsi" w:cstheme="minorHAnsi"/>
          <w:sz w:val="20"/>
          <w:szCs w:val="20"/>
        </w:rPr>
        <w:t>Jahr)  geführt</w:t>
      </w:r>
      <w:proofErr w:type="gramEnd"/>
      <w:r w:rsidRPr="00CE037A">
        <w:rPr>
          <w:rFonts w:asciiTheme="minorHAnsi" w:hAnsiTheme="minorHAnsi" w:cstheme="minorHAnsi"/>
          <w:sz w:val="20"/>
          <w:szCs w:val="20"/>
        </w:rPr>
        <w:t>.</w:t>
      </w:r>
    </w:p>
    <w:p w:rsidR="0052139E" w:rsidRPr="00CE037A" w:rsidRDefault="0052139E" w:rsidP="0052139E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CE037A">
        <w:rPr>
          <w:rFonts w:asciiTheme="minorHAnsi" w:hAnsiTheme="minorHAnsi" w:cstheme="minorHAnsi"/>
          <w:sz w:val="20"/>
          <w:szCs w:val="20"/>
        </w:rPr>
        <w:t xml:space="preserve">Lehrpersonen sehen mit der Zeit auch, ob sie umfassend </w:t>
      </w:r>
      <w:proofErr w:type="spellStart"/>
      <w:r w:rsidRPr="00CE037A">
        <w:rPr>
          <w:rFonts w:asciiTheme="minorHAnsi" w:hAnsiTheme="minorHAnsi" w:cstheme="minorHAnsi"/>
          <w:sz w:val="20"/>
          <w:szCs w:val="20"/>
        </w:rPr>
        <w:t>summativ</w:t>
      </w:r>
      <w:proofErr w:type="spellEnd"/>
      <w:r w:rsidRPr="00CE037A">
        <w:rPr>
          <w:rFonts w:asciiTheme="minorHAnsi" w:hAnsiTheme="minorHAnsi" w:cstheme="minorHAnsi"/>
          <w:sz w:val="20"/>
          <w:szCs w:val="20"/>
        </w:rPr>
        <w:t xml:space="preserve"> beurteilt haben, und können allenfalls Anpassungen vornehmen. So gesehen dient dieses Instrument nicht zuletzt auch der Unterrichtsentwicklung. Im</w:t>
      </w:r>
      <w:r w:rsidR="00F12E84">
        <w:rPr>
          <w:rFonts w:asciiTheme="minorHAnsi" w:hAnsiTheme="minorHAnsi" w:cstheme="minorHAnsi"/>
          <w:sz w:val="20"/>
          <w:szCs w:val="20"/>
        </w:rPr>
        <w:t xml:space="preserve"> </w:t>
      </w:r>
      <w:r w:rsidR="00B46CDC" w:rsidRPr="00CE037A">
        <w:rPr>
          <w:rFonts w:asciiTheme="minorHAnsi" w:hAnsiTheme="minorHAnsi" w:cstheme="minorHAnsi"/>
          <w:sz w:val="20"/>
          <w:szCs w:val="20"/>
        </w:rPr>
        <w:t>Technischen und Textilen</w:t>
      </w:r>
      <w:r w:rsidRPr="00CE037A">
        <w:rPr>
          <w:rFonts w:asciiTheme="minorHAnsi" w:hAnsiTheme="minorHAnsi" w:cstheme="minorHAnsi"/>
          <w:sz w:val="20"/>
          <w:szCs w:val="20"/>
        </w:rPr>
        <w:t xml:space="preserve"> Gestalten werden Produkt und Prozess in etwa gleichermassen gewichtet, Lernkontrollen habe</w:t>
      </w:r>
      <w:r w:rsidR="00B46CDC" w:rsidRPr="00CE037A">
        <w:rPr>
          <w:rFonts w:asciiTheme="minorHAnsi" w:hAnsiTheme="minorHAnsi" w:cstheme="minorHAnsi"/>
          <w:sz w:val="20"/>
          <w:szCs w:val="20"/>
        </w:rPr>
        <w:t xml:space="preserve">n </w:t>
      </w:r>
      <w:r w:rsidRPr="00CE037A">
        <w:rPr>
          <w:rFonts w:asciiTheme="minorHAnsi" w:hAnsiTheme="minorHAnsi" w:cstheme="minorHAnsi"/>
          <w:sz w:val="20"/>
          <w:szCs w:val="20"/>
        </w:rPr>
        <w:t xml:space="preserve">einen </w:t>
      </w:r>
      <w:r w:rsidR="00B46CDC" w:rsidRPr="00CE037A">
        <w:rPr>
          <w:rFonts w:asciiTheme="minorHAnsi" w:hAnsiTheme="minorHAnsi" w:cstheme="minorHAnsi"/>
          <w:sz w:val="20"/>
          <w:szCs w:val="20"/>
        </w:rPr>
        <w:t xml:space="preserve">deutlich </w:t>
      </w:r>
      <w:r w:rsidRPr="00CE037A">
        <w:rPr>
          <w:rFonts w:asciiTheme="minorHAnsi" w:hAnsiTheme="minorHAnsi" w:cstheme="minorHAnsi"/>
          <w:sz w:val="20"/>
          <w:szCs w:val="20"/>
        </w:rPr>
        <w:t>kleineren Anteil.</w:t>
      </w:r>
      <w:r w:rsidRPr="00CE037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2139E" w:rsidRPr="00CE037A" w:rsidRDefault="0052139E" w:rsidP="0052139E"/>
    <w:tbl>
      <w:tblPr>
        <w:tblStyle w:val="Tabellenraster"/>
        <w:tblW w:w="14516" w:type="dxa"/>
        <w:tblLayout w:type="fixed"/>
        <w:tblLook w:val="00A0" w:firstRow="1" w:lastRow="0" w:firstColumn="1" w:lastColumn="0" w:noHBand="0" w:noVBand="0"/>
      </w:tblPr>
      <w:tblGrid>
        <w:gridCol w:w="908"/>
        <w:gridCol w:w="5245"/>
        <w:gridCol w:w="760"/>
        <w:gridCol w:w="1620"/>
        <w:gridCol w:w="596"/>
        <w:gridCol w:w="3261"/>
        <w:gridCol w:w="2126"/>
      </w:tblGrid>
      <w:tr w:rsidR="0052139E" w:rsidRPr="00CE0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Produkt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6" w:type="dxa"/>
            <w:gridSpan w:val="3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Kompetenzbereiche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Handlungs- und Themenaspekte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Prädikat/Note/verbal</w:t>
            </w:r>
          </w:p>
        </w:tc>
      </w:tr>
      <w:tr w:rsidR="00734BD2" w:rsidRPr="00CE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0" w:type="dxa"/>
            <w:tcBorders>
              <w:right w:val="single" w:sz="4" w:space="0" w:color="auto"/>
            </w:tcBorders>
          </w:tcPr>
          <w:p w:rsidR="00734BD2" w:rsidRPr="00CE037A" w:rsidRDefault="00734BD2" w:rsidP="00B46CD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TTG</w:t>
            </w: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single" w:sz="4" w:space="0" w:color="auto"/>
            </w:tcBorders>
          </w:tcPr>
          <w:p w:rsidR="00734BD2" w:rsidRPr="00CE037A" w:rsidRDefault="00734BD2" w:rsidP="00B46CD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TTG</w:t>
            </w: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tcBorders>
              <w:left w:val="single" w:sz="4" w:space="0" w:color="auto"/>
            </w:tcBorders>
          </w:tcPr>
          <w:p w:rsidR="00734BD2" w:rsidRPr="00CE037A" w:rsidRDefault="00734BD2" w:rsidP="00B46CD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TTG</w:t>
            </w: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BD2" w:rsidRPr="00CE0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0" w:type="dxa"/>
            <w:tcBorders>
              <w:right w:val="single" w:sz="4" w:space="0" w:color="auto"/>
            </w:tcBorders>
            <w:vAlign w:val="center"/>
          </w:tcPr>
          <w:p w:rsidR="00734BD2" w:rsidRPr="00CE037A" w:rsidRDefault="00734BD2" w:rsidP="00B46CDC">
            <w:pPr>
              <w:jc w:val="center"/>
              <w:rPr>
                <w:rFonts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single" w:sz="4" w:space="0" w:color="auto"/>
            </w:tcBorders>
            <w:vAlign w:val="center"/>
          </w:tcPr>
          <w:p w:rsidR="00734BD2" w:rsidRPr="00CE037A" w:rsidRDefault="00734BD2" w:rsidP="00B46CDC">
            <w:pPr>
              <w:jc w:val="center"/>
              <w:rPr>
                <w:rFonts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tcBorders>
              <w:left w:val="single" w:sz="4" w:space="0" w:color="auto"/>
            </w:tcBorders>
            <w:vAlign w:val="center"/>
          </w:tcPr>
          <w:p w:rsidR="00734BD2" w:rsidRPr="00CE037A" w:rsidRDefault="00734BD2" w:rsidP="00B46CDC">
            <w:pPr>
              <w:jc w:val="center"/>
              <w:rPr>
                <w:rFonts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BD2" w:rsidRPr="00CE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0" w:type="dxa"/>
            <w:tcBorders>
              <w:right w:val="single" w:sz="4" w:space="0" w:color="auto"/>
            </w:tcBorders>
            <w:vAlign w:val="center"/>
          </w:tcPr>
          <w:p w:rsidR="00734BD2" w:rsidRPr="00CE037A" w:rsidRDefault="00734BD2" w:rsidP="00B46CDC">
            <w:pPr>
              <w:jc w:val="center"/>
              <w:rPr>
                <w:rFonts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single" w:sz="4" w:space="0" w:color="auto"/>
            </w:tcBorders>
            <w:vAlign w:val="center"/>
          </w:tcPr>
          <w:p w:rsidR="00734BD2" w:rsidRPr="00CE037A" w:rsidRDefault="00734BD2" w:rsidP="00B46CDC">
            <w:pPr>
              <w:jc w:val="center"/>
              <w:rPr>
                <w:rFonts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tcBorders>
              <w:left w:val="single" w:sz="4" w:space="0" w:color="auto"/>
            </w:tcBorders>
            <w:vAlign w:val="center"/>
          </w:tcPr>
          <w:p w:rsidR="00734BD2" w:rsidRPr="00CE037A" w:rsidRDefault="00734BD2" w:rsidP="00B46CDC">
            <w:pPr>
              <w:jc w:val="center"/>
              <w:rPr>
                <w:rFonts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BD2" w:rsidRPr="00CE0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0" w:type="dxa"/>
            <w:tcBorders>
              <w:right w:val="single" w:sz="4" w:space="0" w:color="auto"/>
            </w:tcBorders>
            <w:vAlign w:val="center"/>
          </w:tcPr>
          <w:p w:rsidR="00734BD2" w:rsidRPr="00CE037A" w:rsidRDefault="00734BD2" w:rsidP="00B46CDC">
            <w:pPr>
              <w:jc w:val="center"/>
              <w:rPr>
                <w:rFonts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single" w:sz="4" w:space="0" w:color="auto"/>
            </w:tcBorders>
            <w:vAlign w:val="center"/>
          </w:tcPr>
          <w:p w:rsidR="00734BD2" w:rsidRPr="00CE037A" w:rsidRDefault="00734BD2" w:rsidP="00B46CDC">
            <w:pPr>
              <w:jc w:val="center"/>
              <w:rPr>
                <w:rFonts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tcBorders>
              <w:left w:val="single" w:sz="4" w:space="0" w:color="auto"/>
            </w:tcBorders>
            <w:vAlign w:val="center"/>
          </w:tcPr>
          <w:p w:rsidR="00734BD2" w:rsidRPr="00CE037A" w:rsidRDefault="00734BD2" w:rsidP="00B46CDC">
            <w:pPr>
              <w:jc w:val="center"/>
              <w:rPr>
                <w:rFonts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:rsidR="00734BD2" w:rsidRPr="00CE037A" w:rsidRDefault="00734BD2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2139E" w:rsidRPr="00CE037A" w:rsidRDefault="0052139E" w:rsidP="0052139E">
      <w:pPr>
        <w:rPr>
          <w:sz w:val="16"/>
          <w:szCs w:val="16"/>
        </w:rPr>
      </w:pPr>
      <w:r w:rsidRPr="00CE037A">
        <w:rPr>
          <w:sz w:val="16"/>
          <w:szCs w:val="16"/>
        </w:rPr>
        <w:t>Bei Bedarf weitere Zeilen einfügen …</w:t>
      </w:r>
    </w:p>
    <w:p w:rsidR="0052139E" w:rsidRPr="00CE037A" w:rsidRDefault="0052139E" w:rsidP="0052139E">
      <w:pPr>
        <w:rPr>
          <w:sz w:val="16"/>
          <w:szCs w:val="16"/>
        </w:rPr>
      </w:pPr>
    </w:p>
    <w:tbl>
      <w:tblPr>
        <w:tblStyle w:val="Tabellenraster"/>
        <w:tblW w:w="14516" w:type="dxa"/>
        <w:tblLayout w:type="fixed"/>
        <w:tblLook w:val="00A0" w:firstRow="1" w:lastRow="0" w:firstColumn="1" w:lastColumn="0" w:noHBand="0" w:noVBand="0"/>
      </w:tblPr>
      <w:tblGrid>
        <w:gridCol w:w="908"/>
        <w:gridCol w:w="5245"/>
        <w:gridCol w:w="992"/>
        <w:gridCol w:w="992"/>
        <w:gridCol w:w="992"/>
        <w:gridCol w:w="3261"/>
        <w:gridCol w:w="2126"/>
      </w:tblGrid>
      <w:tr w:rsidR="0052139E" w:rsidRPr="00CE0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Lernkontrolle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6" w:type="dxa"/>
            <w:gridSpan w:val="3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Kompetenzbereiche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Handlungs- und Themenaspekte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Prädikat/Note/verbal</w:t>
            </w:r>
          </w:p>
        </w:tc>
      </w:tr>
      <w:tr w:rsidR="0052139E" w:rsidRPr="00CE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:rsidR="0052139E" w:rsidRPr="00CE037A" w:rsidRDefault="00F12E84" w:rsidP="00B46CD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TTG</w:t>
            </w:r>
            <w:r w:rsidR="0052139E" w:rsidRPr="00CE037A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2139E" w:rsidRPr="00CE037A" w:rsidRDefault="00F12E84" w:rsidP="00B46CD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TTG</w:t>
            </w:r>
            <w:r w:rsidR="0052139E" w:rsidRPr="00CE037A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:rsidR="0052139E" w:rsidRPr="00CE037A" w:rsidRDefault="00F12E84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TTG</w:t>
            </w:r>
            <w:r w:rsidR="0052139E" w:rsidRPr="00CE037A">
              <w:rPr>
                <w:rFonts w:asciiTheme="minorHAnsi" w:hAnsiTheme="minorHAnsi" w:cstheme="minorHAnsi"/>
                <w:sz w:val="18"/>
                <w:szCs w:val="18"/>
              </w:rPr>
              <w:t>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139E" w:rsidRPr="00CE0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vAlign w:val="center"/>
          </w:tcPr>
          <w:p w:rsidR="0052139E" w:rsidRPr="00CE037A" w:rsidRDefault="0052139E" w:rsidP="00B46CDC">
            <w:pPr>
              <w:spacing w:before="0"/>
              <w:jc w:val="center"/>
              <w:rPr>
                <w:rFonts w:asciiTheme="minorHAnsi" w:hAnsiTheme="minorHAnsi"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2139E" w:rsidRPr="00CE037A" w:rsidRDefault="0052139E" w:rsidP="00B46CDC">
            <w:pPr>
              <w:spacing w:before="0"/>
              <w:jc w:val="center"/>
              <w:rPr>
                <w:rFonts w:asciiTheme="minorHAnsi" w:hAnsiTheme="minorHAnsi"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vAlign w:val="center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/>
                <w:iCs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139E" w:rsidRPr="00CE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vAlign w:val="center"/>
          </w:tcPr>
          <w:p w:rsidR="0052139E" w:rsidRPr="00CE037A" w:rsidRDefault="0052139E" w:rsidP="00B46CDC">
            <w:pPr>
              <w:spacing w:before="0"/>
              <w:jc w:val="center"/>
              <w:rPr>
                <w:rFonts w:asciiTheme="minorHAnsi" w:hAnsiTheme="minorHAnsi"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2139E" w:rsidRPr="00CE037A" w:rsidRDefault="0052139E" w:rsidP="00B46CDC">
            <w:pPr>
              <w:spacing w:before="0"/>
              <w:jc w:val="center"/>
              <w:rPr>
                <w:rFonts w:asciiTheme="minorHAnsi" w:hAnsiTheme="minorHAnsi" w:cstheme="minorHAnsi"/>
                <w:color w:val="DDDDDD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vAlign w:val="center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2139E" w:rsidRPr="00CE037A" w:rsidRDefault="0052139E" w:rsidP="0052139E">
      <w:pPr>
        <w:rPr>
          <w:sz w:val="16"/>
          <w:szCs w:val="16"/>
        </w:rPr>
      </w:pPr>
      <w:r w:rsidRPr="00CE037A">
        <w:rPr>
          <w:sz w:val="16"/>
          <w:szCs w:val="16"/>
        </w:rPr>
        <w:t>Bei Bedarf weitere Zeilen einfügen …</w:t>
      </w:r>
    </w:p>
    <w:p w:rsidR="0052139E" w:rsidRPr="00CE037A" w:rsidRDefault="0052139E" w:rsidP="0052139E"/>
    <w:tbl>
      <w:tblPr>
        <w:tblStyle w:val="Tabellenraster"/>
        <w:tblW w:w="14516" w:type="dxa"/>
        <w:tblLayout w:type="fixed"/>
        <w:tblLook w:val="00A0" w:firstRow="1" w:lastRow="0" w:firstColumn="1" w:lastColumn="0" w:noHBand="0" w:noVBand="0"/>
      </w:tblPr>
      <w:tblGrid>
        <w:gridCol w:w="908"/>
        <w:gridCol w:w="5245"/>
        <w:gridCol w:w="6237"/>
        <w:gridCol w:w="2126"/>
      </w:tblGrid>
      <w:tr w:rsidR="0052139E" w:rsidRPr="00CE0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 xml:space="preserve">Datum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Lernprozess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 xml:space="preserve">Fokussierte Aspekte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037A">
              <w:rPr>
                <w:rFonts w:asciiTheme="minorHAnsi" w:hAnsiTheme="minorHAnsi" w:cstheme="minorHAnsi"/>
                <w:sz w:val="18"/>
                <w:szCs w:val="18"/>
              </w:rPr>
              <w:t>Prädikat/Note/verbal</w:t>
            </w:r>
          </w:p>
        </w:tc>
      </w:tr>
      <w:tr w:rsidR="0052139E" w:rsidRPr="00E3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:rsidR="0052139E" w:rsidRPr="00CE037A" w:rsidRDefault="0052139E" w:rsidP="00B46CD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Lr</w:t>
            </w:r>
            <w:proofErr w:type="spellEnd"/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 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Gd 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Fn 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Sv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</w:p>
        </w:tc>
      </w:tr>
      <w:tr w:rsidR="0052139E" w:rsidRPr="00E3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:rsidR="0052139E" w:rsidRPr="00CE037A" w:rsidRDefault="0052139E" w:rsidP="00B46CD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Lr</w:t>
            </w:r>
            <w:proofErr w:type="spellEnd"/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 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Gd 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Fn 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Sv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</w:p>
        </w:tc>
      </w:tr>
      <w:tr w:rsidR="0052139E" w:rsidRPr="00E3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:rsidR="0052139E" w:rsidRPr="00CE037A" w:rsidRDefault="0052139E" w:rsidP="00B46CDC">
            <w:pPr>
              <w:spacing w:before="0"/>
              <w:jc w:val="center"/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</w:pP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Lr</w:t>
            </w:r>
            <w:proofErr w:type="spellEnd"/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 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Gd 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Fn 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Sv    </w:t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</w:rPr>
              <w:sym w:font="Webdings" w:char="F067"/>
            </w:r>
            <w:r w:rsidRPr="00CE037A">
              <w:rPr>
                <w:rFonts w:asciiTheme="minorHAnsi" w:hAnsiTheme="minorHAnsi" w:cstheme="minorHAnsi"/>
                <w:color w:val="DDDDDD"/>
                <w:sz w:val="18"/>
                <w:szCs w:val="18"/>
                <w:lang w:val="fr-CH"/>
              </w:rPr>
              <w:t xml:space="preserve"> </w:t>
            </w:r>
            <w:r w:rsidRPr="00CE037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2139E" w:rsidRPr="00CE037A" w:rsidRDefault="0052139E" w:rsidP="00B46CDC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</w:p>
        </w:tc>
      </w:tr>
    </w:tbl>
    <w:p w:rsidR="00B46CDC" w:rsidRPr="00CE037A" w:rsidRDefault="0052139E">
      <w:pPr>
        <w:rPr>
          <w:sz w:val="16"/>
          <w:szCs w:val="16"/>
        </w:rPr>
      </w:pPr>
      <w:r w:rsidRPr="00CE037A">
        <w:rPr>
          <w:sz w:val="16"/>
          <w:szCs w:val="16"/>
        </w:rPr>
        <w:t xml:space="preserve">Bei Bedarf weitere Zeilen einfügen </w:t>
      </w:r>
    </w:p>
    <w:p w:rsidR="00B46CDC" w:rsidRPr="00CE037A" w:rsidRDefault="00B46CDC">
      <w:pPr>
        <w:rPr>
          <w:sz w:val="16"/>
          <w:szCs w:val="16"/>
        </w:rPr>
      </w:pPr>
    </w:p>
    <w:p w:rsidR="00B46CDC" w:rsidRPr="00CE037A" w:rsidRDefault="00B46CDC">
      <w:pPr>
        <w:rPr>
          <w:sz w:val="16"/>
          <w:szCs w:val="16"/>
        </w:rPr>
      </w:pPr>
    </w:p>
    <w:p w:rsidR="00B46CDC" w:rsidRPr="00CE037A" w:rsidRDefault="00B46CDC">
      <w:pPr>
        <w:rPr>
          <w:sz w:val="16"/>
          <w:szCs w:val="16"/>
        </w:rPr>
      </w:pPr>
    </w:p>
    <w:p w:rsidR="00112F9B" w:rsidRDefault="00927638" w:rsidP="00CE037A">
      <w:pPr>
        <w:widowControl w:val="0"/>
        <w:autoSpaceDE w:val="0"/>
        <w:autoSpaceDN w:val="0"/>
        <w:adjustRightInd w:val="0"/>
        <w:rPr>
          <w:rFonts w:cs="ˆÎ∏Ôˇø^€’'1"/>
          <w:b/>
          <w:sz w:val="20"/>
          <w:szCs w:val="16"/>
        </w:rPr>
      </w:pPr>
      <w:r>
        <w:rPr>
          <w:rFonts w:cs="ˆÎ∏Ôˇø^€’'1"/>
          <w:b/>
          <w:sz w:val="20"/>
          <w:szCs w:val="16"/>
        </w:rPr>
        <w:t xml:space="preserve">1 </w:t>
      </w:r>
      <w:r w:rsidR="00CE037A" w:rsidRPr="00112F9B">
        <w:rPr>
          <w:rFonts w:cs="ˆÎ∏Ôˇø^€’'1"/>
          <w:b/>
          <w:sz w:val="20"/>
          <w:szCs w:val="16"/>
        </w:rPr>
        <w:t>Kompetenzbereiche</w:t>
      </w:r>
      <w:r>
        <w:rPr>
          <w:rFonts w:cs="ˆÎ∏Ôˇø^€’'1"/>
          <w:b/>
          <w:sz w:val="20"/>
          <w:szCs w:val="16"/>
        </w:rPr>
        <w:t xml:space="preserve"> im TTG</w:t>
      </w:r>
    </w:p>
    <w:p w:rsidR="00CE037A" w:rsidRPr="00112F9B" w:rsidRDefault="00CE037A" w:rsidP="00CE037A">
      <w:pPr>
        <w:widowControl w:val="0"/>
        <w:autoSpaceDE w:val="0"/>
        <w:autoSpaceDN w:val="0"/>
        <w:adjustRightInd w:val="0"/>
        <w:rPr>
          <w:rFonts w:cs="ˆÎ∏Ôˇø^€’'1"/>
          <w:b/>
          <w:sz w:val="20"/>
          <w:szCs w:val="16"/>
        </w:rPr>
      </w:pPr>
    </w:p>
    <w:p w:rsidR="00CE037A" w:rsidRPr="00112F9B" w:rsidRDefault="00CE037A" w:rsidP="00CE037A">
      <w:pPr>
        <w:widowControl w:val="0"/>
        <w:autoSpaceDE w:val="0"/>
        <w:autoSpaceDN w:val="0"/>
        <w:adjustRightInd w:val="0"/>
        <w:rPr>
          <w:rFonts w:cs="ˆÎ∏Ôˇø^€’'1"/>
          <w:sz w:val="20"/>
          <w:szCs w:val="16"/>
        </w:rPr>
      </w:pPr>
      <w:r w:rsidRPr="00112F9B">
        <w:rPr>
          <w:rFonts w:cs="ˆÎ∏Ôˇø^€’'1"/>
          <w:sz w:val="20"/>
          <w:szCs w:val="16"/>
        </w:rPr>
        <w:t>TTG1 Wahrnehmung und Kommunikation, mit den Handlungs- und Themenaspekten Wahrnehmung</w:t>
      </w:r>
    </w:p>
    <w:p w:rsidR="00CE037A" w:rsidRPr="00112F9B" w:rsidRDefault="00CE037A" w:rsidP="00CE037A">
      <w:pPr>
        <w:widowControl w:val="0"/>
        <w:autoSpaceDE w:val="0"/>
        <w:autoSpaceDN w:val="0"/>
        <w:adjustRightInd w:val="0"/>
        <w:rPr>
          <w:rFonts w:cs="ˆÎ∏Ôˇø^€’'1"/>
          <w:sz w:val="20"/>
          <w:szCs w:val="16"/>
        </w:rPr>
      </w:pPr>
      <w:r w:rsidRPr="00112F9B">
        <w:rPr>
          <w:rFonts w:cs="ˆÎ∏Ôˇø^€’'1"/>
          <w:sz w:val="20"/>
          <w:szCs w:val="16"/>
        </w:rPr>
        <w:t>und Reflexion, Kommunikation und Dokumentation</w:t>
      </w:r>
    </w:p>
    <w:p w:rsidR="00CE037A" w:rsidRPr="00112F9B" w:rsidRDefault="00CE037A" w:rsidP="00CE037A">
      <w:pPr>
        <w:widowControl w:val="0"/>
        <w:autoSpaceDE w:val="0"/>
        <w:autoSpaceDN w:val="0"/>
        <w:adjustRightInd w:val="0"/>
        <w:rPr>
          <w:rFonts w:cs="ˆÎ∏Ôˇø^€’'1"/>
          <w:sz w:val="20"/>
          <w:szCs w:val="16"/>
        </w:rPr>
      </w:pPr>
    </w:p>
    <w:p w:rsidR="00CE037A" w:rsidRPr="00112F9B" w:rsidRDefault="00CE037A" w:rsidP="00CE037A">
      <w:pPr>
        <w:widowControl w:val="0"/>
        <w:autoSpaceDE w:val="0"/>
        <w:autoSpaceDN w:val="0"/>
        <w:adjustRightInd w:val="0"/>
        <w:rPr>
          <w:rFonts w:cs="ˆÎ∏Ôˇø^€’'1"/>
          <w:sz w:val="20"/>
          <w:szCs w:val="16"/>
        </w:rPr>
      </w:pPr>
      <w:r w:rsidRPr="00112F9B">
        <w:rPr>
          <w:rFonts w:cs="ˆÎ∏Ôˇø^€’'1"/>
          <w:sz w:val="20"/>
          <w:szCs w:val="16"/>
        </w:rPr>
        <w:t>TTG2</w:t>
      </w:r>
      <w:r w:rsidR="00112F9B">
        <w:rPr>
          <w:rFonts w:cs="ˆÎ∏Ôˇø^€’'1"/>
          <w:sz w:val="20"/>
          <w:szCs w:val="16"/>
        </w:rPr>
        <w:t xml:space="preserve"> </w:t>
      </w:r>
      <w:r w:rsidRPr="00112F9B">
        <w:rPr>
          <w:rFonts w:cs="ˆÎ∏Ôˇø^€’'1"/>
          <w:sz w:val="20"/>
          <w:szCs w:val="16"/>
        </w:rPr>
        <w:t>Prozesse und Produkte mit den Handlungs- und Themenaspekten Gestaltungs- oder</w:t>
      </w:r>
      <w:r w:rsidR="00112F9B" w:rsidRPr="00112F9B">
        <w:rPr>
          <w:rFonts w:cs="ˆÎ∏Ôˇø^€’'1"/>
          <w:sz w:val="20"/>
          <w:szCs w:val="16"/>
        </w:rPr>
        <w:t xml:space="preserve"> </w:t>
      </w:r>
      <w:r w:rsidRPr="00112F9B">
        <w:rPr>
          <w:rFonts w:cs="ˆÎ∏Ôˇø^€’'1"/>
          <w:sz w:val="20"/>
          <w:szCs w:val="16"/>
        </w:rPr>
        <w:t>Designprozess, Funktion und Konstruktion, Gestaltungselemente, Verfahren, Material,</w:t>
      </w:r>
      <w:r w:rsidR="00112F9B" w:rsidRPr="00112F9B">
        <w:rPr>
          <w:rFonts w:cs="ˆÎ∏Ôˇø^€’'1"/>
          <w:sz w:val="20"/>
          <w:szCs w:val="16"/>
        </w:rPr>
        <w:t xml:space="preserve"> </w:t>
      </w:r>
      <w:r w:rsidRPr="00112F9B">
        <w:rPr>
          <w:rFonts w:cs="ˆÎ∏Ôˇø^€’'1"/>
          <w:sz w:val="20"/>
          <w:szCs w:val="16"/>
        </w:rPr>
        <w:t>Werkzeuge und Maschinen</w:t>
      </w:r>
    </w:p>
    <w:p w:rsidR="00112F9B" w:rsidRPr="00112F9B" w:rsidRDefault="00112F9B" w:rsidP="00CE037A">
      <w:pPr>
        <w:widowControl w:val="0"/>
        <w:autoSpaceDE w:val="0"/>
        <w:autoSpaceDN w:val="0"/>
        <w:adjustRightInd w:val="0"/>
        <w:rPr>
          <w:rFonts w:cs="ˆÎ∏Ôˇø^€’'1"/>
          <w:sz w:val="20"/>
          <w:szCs w:val="12"/>
        </w:rPr>
      </w:pPr>
    </w:p>
    <w:p w:rsidR="00112F9B" w:rsidRPr="00112F9B" w:rsidRDefault="00112F9B" w:rsidP="00112F9B">
      <w:pPr>
        <w:widowControl w:val="0"/>
        <w:autoSpaceDE w:val="0"/>
        <w:autoSpaceDN w:val="0"/>
        <w:adjustRightInd w:val="0"/>
        <w:rPr>
          <w:rFonts w:cs="ˆÎ∏Ôˇø^€’'1"/>
          <w:sz w:val="20"/>
          <w:szCs w:val="16"/>
        </w:rPr>
      </w:pPr>
      <w:r w:rsidRPr="00112F9B">
        <w:rPr>
          <w:rFonts w:cs="ˆÎ∏Ôˇø^€’'1"/>
          <w:sz w:val="20"/>
          <w:szCs w:val="12"/>
        </w:rPr>
        <w:t xml:space="preserve">TTG3 Kontexte und Orientierung: </w:t>
      </w:r>
      <w:r w:rsidRPr="00112F9B">
        <w:rPr>
          <w:rFonts w:cs="ˆÎ∏Ôˇø^€’'1"/>
          <w:sz w:val="20"/>
          <w:szCs w:val="16"/>
        </w:rPr>
        <w:t>Kontexte und Orientierung mit den Handlungs- und Themenaspekten Kultur und Geschichte, Design- und Technikverständnis</w:t>
      </w:r>
    </w:p>
    <w:p w:rsidR="00112F9B" w:rsidRDefault="00112F9B" w:rsidP="00CE037A">
      <w:pPr>
        <w:widowControl w:val="0"/>
        <w:autoSpaceDE w:val="0"/>
        <w:autoSpaceDN w:val="0"/>
        <w:adjustRightInd w:val="0"/>
        <w:rPr>
          <w:rFonts w:cs="ˆÎ∏Ôˇø^€’'1"/>
          <w:sz w:val="12"/>
          <w:szCs w:val="12"/>
        </w:rPr>
      </w:pPr>
    </w:p>
    <w:p w:rsidR="00112F9B" w:rsidRDefault="00112F9B" w:rsidP="00CE037A">
      <w:pPr>
        <w:widowControl w:val="0"/>
        <w:autoSpaceDE w:val="0"/>
        <w:autoSpaceDN w:val="0"/>
        <w:adjustRightInd w:val="0"/>
        <w:rPr>
          <w:rFonts w:cs="ˆÎ∏Ôˇø^€’'1"/>
          <w:sz w:val="12"/>
          <w:szCs w:val="12"/>
        </w:rPr>
      </w:pPr>
    </w:p>
    <w:p w:rsidR="00927638" w:rsidRDefault="00927638" w:rsidP="00CE037A">
      <w:pPr>
        <w:widowControl w:val="0"/>
        <w:autoSpaceDE w:val="0"/>
        <w:autoSpaceDN w:val="0"/>
        <w:adjustRightInd w:val="0"/>
        <w:rPr>
          <w:rFonts w:cs="Ó‰∏Ôˇø^€’'1"/>
          <w:b/>
          <w:sz w:val="20"/>
          <w:szCs w:val="20"/>
        </w:rPr>
      </w:pPr>
    </w:p>
    <w:p w:rsidR="00927638" w:rsidRDefault="00927638" w:rsidP="00CE037A">
      <w:pPr>
        <w:widowControl w:val="0"/>
        <w:autoSpaceDE w:val="0"/>
        <w:autoSpaceDN w:val="0"/>
        <w:adjustRightInd w:val="0"/>
        <w:rPr>
          <w:rFonts w:cs="Ó‰∏Ôˇø^€’'1"/>
          <w:b/>
          <w:sz w:val="20"/>
          <w:szCs w:val="20"/>
        </w:rPr>
      </w:pPr>
      <w:r>
        <w:rPr>
          <w:rFonts w:cs="Ó‰∏Ôˇø^€’'1"/>
          <w:b/>
          <w:sz w:val="20"/>
          <w:szCs w:val="20"/>
        </w:rPr>
        <w:t>2 Fokussierte Aspekte</w:t>
      </w:r>
    </w:p>
    <w:p w:rsidR="00927638" w:rsidRDefault="00927638" w:rsidP="00CE037A">
      <w:pPr>
        <w:widowControl w:val="0"/>
        <w:autoSpaceDE w:val="0"/>
        <w:autoSpaceDN w:val="0"/>
        <w:adjustRightInd w:val="0"/>
        <w:rPr>
          <w:rFonts w:cs="Ó‰∏Ôˇø^€’'1"/>
          <w:b/>
          <w:sz w:val="20"/>
          <w:szCs w:val="20"/>
        </w:rPr>
      </w:pPr>
    </w:p>
    <w:p w:rsidR="00112F9B" w:rsidRPr="00927638" w:rsidRDefault="00112F9B" w:rsidP="00CE037A">
      <w:pPr>
        <w:widowControl w:val="0"/>
        <w:autoSpaceDE w:val="0"/>
        <w:autoSpaceDN w:val="0"/>
        <w:adjustRightInd w:val="0"/>
        <w:rPr>
          <w:rFonts w:cs="Ó‰∏Ôˇø^€’'1"/>
          <w:b/>
          <w:sz w:val="20"/>
          <w:szCs w:val="20"/>
        </w:rPr>
      </w:pPr>
      <w:proofErr w:type="spellStart"/>
      <w:r w:rsidRPr="00927638">
        <w:rPr>
          <w:rFonts w:cs="Ó‰∏Ôˇø^€’'1"/>
          <w:b/>
          <w:sz w:val="20"/>
          <w:szCs w:val="20"/>
        </w:rPr>
        <w:t>Lr</w:t>
      </w:r>
      <w:proofErr w:type="spellEnd"/>
      <w:r w:rsidRPr="00927638">
        <w:rPr>
          <w:rFonts w:cs="Ó‰∏Ôˇø^€’'1"/>
          <w:b/>
          <w:sz w:val="20"/>
          <w:szCs w:val="20"/>
        </w:rPr>
        <w:t xml:space="preserve"> </w:t>
      </w:r>
      <w:r w:rsidR="00CE037A" w:rsidRPr="00927638">
        <w:rPr>
          <w:rFonts w:cs="Ó‰∏Ôˇø^€’'1"/>
          <w:b/>
          <w:sz w:val="20"/>
          <w:szCs w:val="20"/>
        </w:rPr>
        <w:t>Lernprozesse einschätzen und reflektieren</w:t>
      </w:r>
    </w:p>
    <w:p w:rsidR="00CE037A" w:rsidRPr="00927638" w:rsidRDefault="00112F9B" w:rsidP="00112F9B">
      <w:pPr>
        <w:widowControl w:val="0"/>
        <w:autoSpaceDE w:val="0"/>
        <w:autoSpaceDN w:val="0"/>
        <w:adjustRightInd w:val="0"/>
        <w:rPr>
          <w:rFonts w:ascii="W≈'70∏Ôˇø^€’'1" w:hAnsi="W≈'70∏Ôˇø^€’'1" w:cs="W≈'70∏Ôˇø^€’'1"/>
          <w:sz w:val="20"/>
          <w:szCs w:val="20"/>
        </w:rPr>
      </w:pPr>
      <w:r w:rsidRPr="00927638">
        <w:rPr>
          <w:rFonts w:cs="Ó‰∏Ôˇø^€’'1"/>
          <w:sz w:val="20"/>
          <w:szCs w:val="20"/>
        </w:rPr>
        <w:t>Den eigenen Lernprozess reflektieren, beschreiben und mit realen technischen und k</w:t>
      </w:r>
      <w:r w:rsidR="00F12E84">
        <w:rPr>
          <w:rFonts w:cs="Ó‰∏Ôˇø^€’'1"/>
          <w:sz w:val="20"/>
          <w:szCs w:val="20"/>
        </w:rPr>
        <w:t>ü</w:t>
      </w:r>
      <w:r w:rsidRPr="00927638">
        <w:rPr>
          <w:rFonts w:cs="Ó‰∏Ôˇø^€’'1"/>
          <w:sz w:val="20"/>
          <w:szCs w:val="20"/>
        </w:rPr>
        <w:t xml:space="preserve">nstlerischen Prozessen vergleichen können. </w:t>
      </w:r>
      <w:r w:rsidRPr="00927638">
        <w:rPr>
          <w:rFonts w:ascii="W≈'70∏Ôˇø^€’'1" w:hAnsi="W≈'70∏Ôˇø^€’'1" w:cs="W≈'70∏Ôˇø^€’'1"/>
          <w:sz w:val="20"/>
          <w:szCs w:val="20"/>
        </w:rPr>
        <w:t>Überfachliche und fachliche Entwicklungsmöglichkeiten erkennen können (z.B. Peer-Feedback, Selbst- und Fremdbeurteilung).</w:t>
      </w:r>
    </w:p>
    <w:p w:rsidR="00927638" w:rsidRDefault="00927638" w:rsidP="00CE037A">
      <w:pPr>
        <w:widowControl w:val="0"/>
        <w:autoSpaceDE w:val="0"/>
        <w:autoSpaceDN w:val="0"/>
        <w:adjustRightInd w:val="0"/>
        <w:rPr>
          <w:rFonts w:cs="Ó‰∏Ôˇø^€’'1"/>
          <w:b/>
          <w:sz w:val="20"/>
          <w:szCs w:val="20"/>
        </w:rPr>
      </w:pPr>
    </w:p>
    <w:p w:rsidR="00112F9B" w:rsidRPr="00927638" w:rsidRDefault="00112F9B" w:rsidP="00CE037A">
      <w:pPr>
        <w:widowControl w:val="0"/>
        <w:autoSpaceDE w:val="0"/>
        <w:autoSpaceDN w:val="0"/>
        <w:adjustRightInd w:val="0"/>
        <w:rPr>
          <w:rFonts w:cs="Ó‰∏Ôˇø^€’'1"/>
          <w:b/>
          <w:sz w:val="20"/>
          <w:szCs w:val="20"/>
        </w:rPr>
      </w:pPr>
      <w:r w:rsidRPr="00927638">
        <w:rPr>
          <w:rFonts w:cs="Ó‰∏Ôˇø^€’'1"/>
          <w:b/>
          <w:sz w:val="20"/>
          <w:szCs w:val="20"/>
        </w:rPr>
        <w:t xml:space="preserve">GD </w:t>
      </w:r>
      <w:r w:rsidR="00CE037A" w:rsidRPr="00927638">
        <w:rPr>
          <w:rFonts w:cs="Ó‰∏Ôˇø^€’'1"/>
          <w:b/>
          <w:sz w:val="20"/>
          <w:szCs w:val="20"/>
        </w:rPr>
        <w:t>Gelerntes darstellen</w:t>
      </w:r>
    </w:p>
    <w:p w:rsidR="00112F9B" w:rsidRPr="00927638" w:rsidRDefault="00112F9B" w:rsidP="00112F9B">
      <w:pPr>
        <w:widowControl w:val="0"/>
        <w:autoSpaceDE w:val="0"/>
        <w:autoSpaceDN w:val="0"/>
        <w:adjustRightInd w:val="0"/>
        <w:rPr>
          <w:rFonts w:cs="Ó‰∏Ôˇø^€’'1"/>
          <w:sz w:val="20"/>
          <w:szCs w:val="20"/>
        </w:rPr>
      </w:pPr>
      <w:r w:rsidRPr="00927638">
        <w:rPr>
          <w:rFonts w:cs="Ó‰∏Ôˇø^€’'1"/>
          <w:sz w:val="20"/>
          <w:szCs w:val="20"/>
        </w:rPr>
        <w:t>Das Gelernte beschreiben und fachspezifisch darstellen können (z. B. Ablaufplan, Schaltplan, Modell, Fotos, Videos, Explosionszeichnung, Schnittbild, Skizze, Plan).</w:t>
      </w:r>
    </w:p>
    <w:p w:rsidR="00112F9B" w:rsidRPr="00927638" w:rsidRDefault="00112F9B" w:rsidP="00112F9B">
      <w:pPr>
        <w:widowControl w:val="0"/>
        <w:autoSpaceDE w:val="0"/>
        <w:autoSpaceDN w:val="0"/>
        <w:adjustRightInd w:val="0"/>
        <w:rPr>
          <w:rFonts w:cs="Ó‰∏Ôˇø^€’'1"/>
          <w:sz w:val="20"/>
          <w:szCs w:val="20"/>
        </w:rPr>
      </w:pPr>
    </w:p>
    <w:p w:rsidR="00112F9B" w:rsidRPr="00927638" w:rsidRDefault="00112F9B" w:rsidP="00112F9B">
      <w:pPr>
        <w:widowControl w:val="0"/>
        <w:autoSpaceDE w:val="0"/>
        <w:autoSpaceDN w:val="0"/>
        <w:adjustRightInd w:val="0"/>
        <w:rPr>
          <w:rFonts w:cs="Ó‰∏Ôˇø^€’'1"/>
          <w:b/>
          <w:sz w:val="20"/>
          <w:szCs w:val="20"/>
        </w:rPr>
      </w:pPr>
      <w:r w:rsidRPr="00927638">
        <w:rPr>
          <w:rFonts w:cs="Ó‰∏Ôˇø^€’'1"/>
          <w:b/>
          <w:sz w:val="20"/>
          <w:szCs w:val="20"/>
        </w:rPr>
        <w:t>FN Förderhinweise nutzen</w:t>
      </w:r>
    </w:p>
    <w:p w:rsidR="00112F9B" w:rsidRPr="00927638" w:rsidRDefault="00112F9B" w:rsidP="00112F9B">
      <w:pPr>
        <w:widowControl w:val="0"/>
        <w:autoSpaceDE w:val="0"/>
        <w:autoSpaceDN w:val="0"/>
        <w:adjustRightInd w:val="0"/>
        <w:rPr>
          <w:rFonts w:cs="Ó‰∏Ôˇø^€’'1"/>
          <w:sz w:val="20"/>
          <w:szCs w:val="20"/>
        </w:rPr>
      </w:pPr>
      <w:r w:rsidRPr="00927638">
        <w:rPr>
          <w:rFonts w:cs="ˆÎ∏Ôˇø^€’'1"/>
          <w:sz w:val="20"/>
          <w:szCs w:val="20"/>
        </w:rPr>
        <w:t xml:space="preserve">Förderhinweise von Lehrpersonen und Mitlernenden produktiv nutzen; Fehler erkennen, einschätzen und nutzen (z.B. </w:t>
      </w:r>
      <w:r w:rsidRPr="00927638">
        <w:rPr>
          <w:rFonts w:cs="Ó‰∏Ôˇø^€’'1"/>
          <w:sz w:val="20"/>
          <w:szCs w:val="20"/>
        </w:rPr>
        <w:t>Peer-Feedback, Selbst und Fremdbeurteilung).</w:t>
      </w:r>
    </w:p>
    <w:p w:rsidR="00112F9B" w:rsidRPr="00927638" w:rsidRDefault="00112F9B" w:rsidP="00112F9B">
      <w:pPr>
        <w:widowControl w:val="0"/>
        <w:autoSpaceDE w:val="0"/>
        <w:autoSpaceDN w:val="0"/>
        <w:adjustRightInd w:val="0"/>
        <w:rPr>
          <w:rFonts w:cs="Ó‰∏Ôˇø^€’'1"/>
          <w:sz w:val="20"/>
          <w:szCs w:val="20"/>
        </w:rPr>
      </w:pPr>
    </w:p>
    <w:p w:rsidR="00112F9B" w:rsidRPr="00927638" w:rsidRDefault="00112F9B" w:rsidP="00112F9B">
      <w:pPr>
        <w:widowControl w:val="0"/>
        <w:autoSpaceDE w:val="0"/>
        <w:autoSpaceDN w:val="0"/>
        <w:adjustRightInd w:val="0"/>
        <w:rPr>
          <w:rFonts w:cs="Ó‰∏Ôˇø^€’'1"/>
          <w:b/>
          <w:sz w:val="20"/>
          <w:szCs w:val="20"/>
        </w:rPr>
      </w:pPr>
      <w:r w:rsidRPr="00927638">
        <w:rPr>
          <w:rFonts w:cs="Ó‰∏Ôˇø^€’'1"/>
          <w:b/>
          <w:sz w:val="20"/>
          <w:szCs w:val="20"/>
        </w:rPr>
        <w:t>Strategien verwenden</w:t>
      </w:r>
    </w:p>
    <w:p w:rsidR="00112F9B" w:rsidRPr="00927638" w:rsidRDefault="00112F9B" w:rsidP="00112F9B">
      <w:pPr>
        <w:widowControl w:val="0"/>
        <w:autoSpaceDE w:val="0"/>
        <w:autoSpaceDN w:val="0"/>
        <w:adjustRightInd w:val="0"/>
        <w:rPr>
          <w:rFonts w:cs="Ó‰∏Ôˇø^€’'1"/>
          <w:sz w:val="20"/>
          <w:szCs w:val="20"/>
        </w:rPr>
      </w:pPr>
      <w:r w:rsidRPr="00927638">
        <w:rPr>
          <w:rFonts w:cs="Ó‰∏Ôˇø^€’'1"/>
          <w:sz w:val="20"/>
          <w:szCs w:val="20"/>
        </w:rPr>
        <w:t>Lernstrategien kennen und nutzen; Umsetzungsschritte planen und umsetzen können (z. B. methodisches Problemlösen).</w:t>
      </w:r>
    </w:p>
    <w:p w:rsidR="00112F9B" w:rsidRPr="00927638" w:rsidRDefault="00112F9B" w:rsidP="00112F9B">
      <w:pPr>
        <w:widowControl w:val="0"/>
        <w:autoSpaceDE w:val="0"/>
        <w:autoSpaceDN w:val="0"/>
        <w:adjustRightInd w:val="0"/>
        <w:rPr>
          <w:rFonts w:cs="Ó‰∏Ôˇø^€’'1"/>
          <w:sz w:val="20"/>
          <w:szCs w:val="20"/>
        </w:rPr>
      </w:pPr>
    </w:p>
    <w:p w:rsidR="00112F9B" w:rsidRPr="00927638" w:rsidRDefault="00112F9B" w:rsidP="00112F9B">
      <w:pPr>
        <w:widowControl w:val="0"/>
        <w:autoSpaceDE w:val="0"/>
        <w:autoSpaceDN w:val="0"/>
        <w:adjustRightInd w:val="0"/>
        <w:rPr>
          <w:rFonts w:cs="Ó‰∏Ôˇø^€’'1"/>
          <w:b/>
          <w:sz w:val="20"/>
          <w:szCs w:val="20"/>
        </w:rPr>
      </w:pPr>
      <w:r w:rsidRPr="00927638">
        <w:rPr>
          <w:rFonts w:cs="Ó‰∏Ôˇø^€’'1"/>
          <w:b/>
          <w:sz w:val="20"/>
          <w:szCs w:val="20"/>
        </w:rPr>
        <w:t>Selbstständig arbeiten</w:t>
      </w:r>
    </w:p>
    <w:p w:rsidR="00CE037A" w:rsidRPr="00927638" w:rsidRDefault="00CE037A" w:rsidP="00CE037A">
      <w:pPr>
        <w:widowControl w:val="0"/>
        <w:autoSpaceDE w:val="0"/>
        <w:autoSpaceDN w:val="0"/>
        <w:adjustRightInd w:val="0"/>
        <w:rPr>
          <w:rFonts w:cs="Ó‰∏Ôˇø^€’'1"/>
          <w:sz w:val="20"/>
          <w:szCs w:val="20"/>
        </w:rPr>
      </w:pPr>
      <w:r w:rsidRPr="00927638">
        <w:rPr>
          <w:rFonts w:cs="Ó‰∏Ôˇø^€’'1"/>
          <w:sz w:val="20"/>
          <w:szCs w:val="20"/>
        </w:rPr>
        <w:t xml:space="preserve">Inhalte zu Kunst, Technik und Design zunehmend selbständig </w:t>
      </w:r>
      <w:proofErr w:type="spellStart"/>
      <w:r w:rsidRPr="00927638">
        <w:rPr>
          <w:rFonts w:cs="Ó‰∏Ôˇø^€’'1"/>
          <w:sz w:val="20"/>
          <w:szCs w:val="20"/>
        </w:rPr>
        <w:t>erschliessen</w:t>
      </w:r>
      <w:proofErr w:type="spellEnd"/>
      <w:r w:rsidRPr="00927638">
        <w:rPr>
          <w:rFonts w:cs="Ó‰∏Ôˇø^€’'1"/>
          <w:sz w:val="20"/>
          <w:szCs w:val="20"/>
        </w:rPr>
        <w:t>; Lernprozesse selbstständig planen und</w:t>
      </w:r>
      <w:r w:rsidR="00112F9B" w:rsidRPr="00927638">
        <w:rPr>
          <w:rFonts w:cs="Ó‰∏Ôˇø^€’'1"/>
          <w:sz w:val="20"/>
          <w:szCs w:val="20"/>
        </w:rPr>
        <w:t xml:space="preserve"> </w:t>
      </w:r>
      <w:r w:rsidRPr="00927638">
        <w:rPr>
          <w:rFonts w:cs="Ó‰∏Ôˇø^€’'1"/>
          <w:sz w:val="20"/>
          <w:szCs w:val="20"/>
        </w:rPr>
        <w:t>organisieren (z. B. mit Planungshilfen, Hilfsgeräten).</w:t>
      </w:r>
    </w:p>
    <w:sectPr w:rsidR="00CE037A" w:rsidRPr="00927638" w:rsidSect="0052139E">
      <w:footerReference w:type="default" r:id="rId7"/>
      <w:pgSz w:w="16840" w:h="11900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38" w:rsidRDefault="00793438" w:rsidP="00F40AB2">
      <w:r>
        <w:separator/>
      </w:r>
    </w:p>
  </w:endnote>
  <w:endnote w:type="continuationSeparator" w:id="0">
    <w:p w:rsidR="00793438" w:rsidRDefault="00793438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ˆÎ∏Ôˇø^€’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Ó‰∏Ôˇø^€’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≈'70∏Ôˇø^€’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7A" w:rsidRDefault="003F2ED8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296" distR="114296" simplePos="0" relativeHeight="251660288" behindDoc="0" locked="0" layoutInCell="1" allowOverlap="1">
              <wp:simplePos x="0" y="0"/>
              <wp:positionH relativeFrom="column">
                <wp:posOffset>1894839</wp:posOffset>
              </wp:positionH>
              <wp:positionV relativeFrom="paragraph">
                <wp:posOffset>-15240</wp:posOffset>
              </wp:positionV>
              <wp:extent cx="0" cy="539750"/>
              <wp:effectExtent l="0" t="0" r="0" b="1270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87D442" id="Gerade Verbindung 2" o:spid="_x0000_s1026" style="position:absolute;z-index:2516602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" strokecolor="#cfcdcd [2894]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37A" w:rsidRPr="007C230B" w:rsidRDefault="00CE037A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Beurteilungsdokumentation Technisches und Textiles Gestalten</w:t>
                          </w:r>
                        </w:p>
                        <w:p w:rsidR="00CE037A" w:rsidRPr="00080038" w:rsidRDefault="00CE037A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IWM PHBern, Thomas Stuber</w:t>
                          </w:r>
                        </w:p>
                        <w:p w:rsidR="00CE037A" w:rsidRPr="00080038" w:rsidRDefault="00CE037A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</w:t>
                          </w:r>
                        </w:p>
                        <w:p w:rsidR="00CE037A" w:rsidRPr="00080038" w:rsidRDefault="00CE037A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19.10.2017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" filled="f" stroked="f">
              <v:path arrowok="t"/>
              <v:textbox>
                <w:txbxContent>
                  <w:p w:rsidR="00CE037A" w:rsidRPr="007C230B" w:rsidRDefault="00CE037A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Beurteilungsdokumentation Technisches und Textiles Gestalten</w:t>
                    </w:r>
                  </w:p>
                  <w:p w:rsidR="00CE037A" w:rsidRPr="00080038" w:rsidRDefault="00CE037A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IWM PHBern, Thomas Stuber</w:t>
                    </w:r>
                  </w:p>
                  <w:p w:rsidR="00CE037A" w:rsidRPr="00080038" w:rsidRDefault="00CE037A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</w:t>
                    </w:r>
                  </w:p>
                  <w:p w:rsidR="00CE037A" w:rsidRPr="00080038" w:rsidRDefault="00CE037A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19.10.2017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37A" w:rsidRPr="00F40AB2" w:rsidRDefault="00CE037A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CE037A" w:rsidRPr="00F40AB2" w:rsidRDefault="00CE037A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CE037A" w:rsidRDefault="00CE037A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CE037A" w:rsidRPr="00080038" w:rsidRDefault="00CE037A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 + 3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" filled="f" stroked="f">
              <v:path arrowok="t"/>
              <v:textbox>
                <w:txbxContent>
                  <w:p w:rsidR="00CE037A" w:rsidRPr="00F40AB2" w:rsidRDefault="00CE037A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CE037A" w:rsidRPr="00F40AB2" w:rsidRDefault="00CE037A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CE037A" w:rsidRDefault="00CE037A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CE037A" w:rsidRPr="00080038" w:rsidRDefault="00CE037A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 + 3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-17780</wp:posOffset>
              </wp:positionV>
              <wp:extent cx="539750" cy="53975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37A" w:rsidRPr="00DF0245" w:rsidRDefault="003D74C4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TTG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8" type="#_x0000_t202" style="position:absolute;left:0;text-align:left;margin-left:-39.8pt;margin-top:-1.4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" fillcolor="#cfcdcd [2894]" stroked="f">
              <v:path arrowok="t"/>
              <v:textbox>
                <w:txbxContent>
                  <w:p w:rsidR="00CE037A" w:rsidRPr="00DF0245" w:rsidRDefault="003D74C4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TTG</w:t>
                    </w:r>
                  </w:p>
                </w:txbxContent>
              </v:textbox>
            </v:shape>
          </w:pict>
        </mc:Fallback>
      </mc:AlternateContent>
    </w:r>
  </w:p>
  <w:p w:rsidR="00CE037A" w:rsidRDefault="00CE037A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CE037A" w:rsidRPr="00F40AB2" w:rsidRDefault="00CE037A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38" w:rsidRDefault="00793438" w:rsidP="00F40AB2">
      <w:r>
        <w:separator/>
      </w:r>
    </w:p>
  </w:footnote>
  <w:footnote w:type="continuationSeparator" w:id="0">
    <w:p w:rsidR="00793438" w:rsidRDefault="00793438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936"/>
    <w:multiLevelType w:val="hybridMultilevel"/>
    <w:tmpl w:val="A1A26862"/>
    <w:lvl w:ilvl="0" w:tplc="9AFEB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80038"/>
    <w:rsid w:val="000B43B5"/>
    <w:rsid w:val="00112F9B"/>
    <w:rsid w:val="0012615E"/>
    <w:rsid w:val="00130784"/>
    <w:rsid w:val="001840B0"/>
    <w:rsid w:val="001F7036"/>
    <w:rsid w:val="00230396"/>
    <w:rsid w:val="002B321D"/>
    <w:rsid w:val="002D5884"/>
    <w:rsid w:val="0034339E"/>
    <w:rsid w:val="00393593"/>
    <w:rsid w:val="003D74C4"/>
    <w:rsid w:val="003F2ED8"/>
    <w:rsid w:val="00474FA7"/>
    <w:rsid w:val="004807C5"/>
    <w:rsid w:val="004813C3"/>
    <w:rsid w:val="0052139E"/>
    <w:rsid w:val="0063747B"/>
    <w:rsid w:val="006C0BC5"/>
    <w:rsid w:val="006E0936"/>
    <w:rsid w:val="00710331"/>
    <w:rsid w:val="00734BD2"/>
    <w:rsid w:val="007474E0"/>
    <w:rsid w:val="00764B16"/>
    <w:rsid w:val="00793438"/>
    <w:rsid w:val="007C230B"/>
    <w:rsid w:val="008003AF"/>
    <w:rsid w:val="00927638"/>
    <w:rsid w:val="009B7154"/>
    <w:rsid w:val="00A74DD9"/>
    <w:rsid w:val="00AF0989"/>
    <w:rsid w:val="00B41F4C"/>
    <w:rsid w:val="00B46CDC"/>
    <w:rsid w:val="00BD711A"/>
    <w:rsid w:val="00BE616D"/>
    <w:rsid w:val="00BE7C99"/>
    <w:rsid w:val="00BF65DD"/>
    <w:rsid w:val="00C735FF"/>
    <w:rsid w:val="00CE037A"/>
    <w:rsid w:val="00DF0245"/>
    <w:rsid w:val="00E3758A"/>
    <w:rsid w:val="00E557D3"/>
    <w:rsid w:val="00E7326E"/>
    <w:rsid w:val="00F03BCA"/>
    <w:rsid w:val="00F12E84"/>
    <w:rsid w:val="00F40AB2"/>
    <w:rsid w:val="00F41684"/>
    <w:rsid w:val="00F706B2"/>
    <w:rsid w:val="00FA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E2BAB1BE-1890-4427-B76F-5BA087AA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615E"/>
  </w:style>
  <w:style w:type="paragraph" w:styleId="berschrift2">
    <w:name w:val="heading 2"/>
    <w:basedOn w:val="Verzeichnis2"/>
    <w:next w:val="Standard"/>
    <w:link w:val="berschrift2Zchn"/>
    <w:autoRedefine/>
    <w:qFormat/>
    <w:rsid w:val="00764B16"/>
    <w:pPr>
      <w:tabs>
        <w:tab w:val="left" w:pos="567"/>
        <w:tab w:val="right" w:pos="9299"/>
      </w:tabs>
      <w:spacing w:after="0"/>
      <w:ind w:left="567" w:right="851" w:hanging="567"/>
      <w:outlineLvl w:val="1"/>
    </w:pPr>
    <w:rPr>
      <w:rFonts w:ascii="Calibri" w:eastAsia="Times New Roman" w:hAnsi="Calibri" w:cs="Times New Roman"/>
      <w:b/>
      <w:bCs/>
      <w:noProof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2Zchn">
    <w:name w:val="Überschrift 2 Zchn"/>
    <w:basedOn w:val="Absatz-Standardschriftart"/>
    <w:link w:val="berschrift2"/>
    <w:rsid w:val="00764B16"/>
    <w:rPr>
      <w:rFonts w:ascii="Calibri" w:eastAsia="Times New Roman" w:hAnsi="Calibri" w:cs="Times New Roman"/>
      <w:b/>
      <w:bCs/>
      <w:noProof/>
      <w:spacing w:val="2"/>
      <w:lang w:val="de-CH" w:eastAsia="de-DE"/>
    </w:rPr>
  </w:style>
  <w:style w:type="table" w:styleId="Tabellenraster">
    <w:name w:val="Table Grid"/>
    <w:basedOn w:val="NormaleTabelle"/>
    <w:uiPriority w:val="39"/>
    <w:rsid w:val="0052139E"/>
    <w:pPr>
      <w:spacing w:before="60" w:after="60"/>
    </w:pPr>
    <w:rPr>
      <w:rFonts w:ascii="Arial" w:eastAsia="Calibri" w:hAnsi="Arial" w:cs="Times New Roman"/>
      <w:sz w:val="16"/>
      <w:szCs w:val="20"/>
      <w:lang w:val="de-CH" w:eastAsia="de-CH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/>
        <w:tblHeader/>
      </w:trPr>
      <w:tcPr>
        <w:shd w:val="clear" w:color="auto" w:fill="F2F2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Listenabsatz">
    <w:name w:val="List Paragraph"/>
    <w:basedOn w:val="Standard"/>
    <w:uiPriority w:val="34"/>
    <w:unhideWhenUsed/>
    <w:qFormat/>
    <w:rsid w:val="0052139E"/>
    <w:pPr>
      <w:spacing w:after="60"/>
      <w:ind w:left="360" w:hanging="360"/>
      <w:contextualSpacing/>
    </w:pPr>
    <w:rPr>
      <w:rFonts w:ascii="Calibri" w:eastAsia="Times New Roman" w:hAnsi="Calibri" w:cs="Times New Roman"/>
      <w:spacing w:val="2"/>
      <w:sz w:val="22"/>
      <w:lang w:val="de-CH" w:eastAsia="de-D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2139E"/>
    <w:pPr>
      <w:spacing w:after="100"/>
      <w:ind w:left="24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27638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27638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E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367BA675.dotm</Template>
  <TotalTime>0</TotalTime>
  <Pages>2</Pages>
  <Words>456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Beurteilungsdokumentation TTG während eines Schuljahres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Beurteilungsdokumentation TTG während eines Schuljahres</dc:title>
  <dc:creator>iwan raschle</dc:creator>
  <cp:keywords>AKVB</cp:keywords>
  <dc:description>LPLMK</dc:description>
  <cp:lastModifiedBy>Dürst Ueli, ERZ-AKVB-FBS</cp:lastModifiedBy>
  <cp:revision>2</cp:revision>
  <dcterms:created xsi:type="dcterms:W3CDTF">2018-06-15T05:10:00Z</dcterms:created>
  <dcterms:modified xsi:type="dcterms:W3CDTF">2018-06-15T05:10:00Z</dcterms:modified>
</cp:coreProperties>
</file>