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666A0" w14:textId="0A494718" w:rsidR="00C03867" w:rsidRPr="00714EC1" w:rsidRDefault="00B86B39" w:rsidP="00F2789C">
      <w:pPr>
        <w:pStyle w:val="Titel"/>
      </w:pPr>
      <w:r>
        <w:rPr>
          <w:lang w:val="de-CH"/>
        </w:rPr>
        <w:t xml:space="preserve">Beurteilungsanlass «Wissen und </w:t>
      </w:r>
      <w:r w:rsidR="00805497">
        <w:rPr>
          <w:lang w:val="de-CH"/>
        </w:rPr>
        <w:t>Glauben</w:t>
      </w:r>
      <w:r>
        <w:rPr>
          <w:lang w:val="de-CH"/>
        </w:rPr>
        <w:t>»</w:t>
      </w:r>
    </w:p>
    <w:p w14:paraId="5C015E72" w14:textId="3097F09A" w:rsidR="00AD4216" w:rsidRPr="00AD4216" w:rsidRDefault="00AD4216" w:rsidP="00AD4216">
      <w:pPr>
        <w:pStyle w:val="Untertitel"/>
        <w:rPr>
          <w:lang w:val="de-CH"/>
        </w:rPr>
      </w:pPr>
      <w:r>
        <w:rPr>
          <w:lang w:val="de-CH"/>
        </w:rPr>
        <w:t>NMG ERG</w:t>
      </w:r>
      <w:r w:rsidR="00146A36" w:rsidRPr="00AD4216">
        <w:br/>
      </w:r>
    </w:p>
    <w:p w14:paraId="3689BF51" w14:textId="7467A26C" w:rsidR="00AD4216" w:rsidRPr="00AD4216" w:rsidRDefault="00AD4216" w:rsidP="00AD4216">
      <w:pPr>
        <w:pStyle w:val="berschrift1"/>
        <w:rPr>
          <w:sz w:val="26"/>
          <w:szCs w:val="26"/>
        </w:rPr>
      </w:pPr>
      <w:r w:rsidRPr="00AD4216">
        <w:rPr>
          <w:b w:val="0"/>
          <w:bCs/>
        </w:rPr>
        <mc:AlternateContent>
          <mc:Choice Requires="wps">
            <w:drawing>
              <wp:anchor distT="0" distB="0" distL="114300" distR="114300" simplePos="0" relativeHeight="251659264" behindDoc="1" locked="0" layoutInCell="1" allowOverlap="1" wp14:anchorId="5A2402B9" wp14:editId="05884449">
                <wp:simplePos x="0" y="0"/>
                <wp:positionH relativeFrom="column">
                  <wp:posOffset>-206459</wp:posOffset>
                </wp:positionH>
                <wp:positionV relativeFrom="paragraph">
                  <wp:posOffset>100030</wp:posOffset>
                </wp:positionV>
                <wp:extent cx="6270171" cy="6531429"/>
                <wp:effectExtent l="0" t="0" r="3810" b="0"/>
                <wp:wrapNone/>
                <wp:docPr id="1546360804" name="Rechteck 1"/>
                <wp:cNvGraphicFramePr/>
                <a:graphic xmlns:a="http://schemas.openxmlformats.org/drawingml/2006/main">
                  <a:graphicData uri="http://schemas.microsoft.com/office/word/2010/wordprocessingShape">
                    <wps:wsp>
                      <wps:cNvSpPr/>
                      <wps:spPr>
                        <a:xfrm>
                          <a:off x="0" y="0"/>
                          <a:ext cx="6270171" cy="6531429"/>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76141F" id="Rechteck 1" o:spid="_x0000_s1026" style="position:absolute;margin-left:-16.25pt;margin-top:7.9pt;width:493.7pt;height:514.3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" fillcolor="#e7e6e6 [3214]" stroked="f" strokeweight="1pt"/>
            </w:pict>
          </mc:Fallback>
        </mc:AlternateContent>
      </w:r>
      <w:r w:rsidRPr="00AD4216">
        <w:rPr>
          <w:sz w:val="26"/>
          <w:szCs w:val="26"/>
        </w:rPr>
        <w:t>Kommentar für Lehrpersonen</w:t>
      </w:r>
    </w:p>
    <w:p w14:paraId="4A42D11A" w14:textId="4448C3BB" w:rsidR="00B86B39" w:rsidRPr="00AD4216" w:rsidRDefault="00AD4216" w:rsidP="00AD4216">
      <w:pPr>
        <w:pStyle w:val="berschrift1"/>
      </w:pPr>
      <w:r w:rsidRPr="00AD4216">
        <w:t>Einleitung</w:t>
      </w:r>
    </w:p>
    <w:p w14:paraId="005CAE63" w14:textId="1241620C" w:rsidR="00B86B39" w:rsidRPr="00B86B39" w:rsidRDefault="00B86B39" w:rsidP="00B86B39">
      <w:pPr>
        <w:rPr>
          <w:lang w:val="de-CH"/>
        </w:rPr>
      </w:pPr>
      <w:r w:rsidRPr="00B86B39">
        <w:rPr>
          <w:lang w:val="de-CH"/>
        </w:rPr>
        <w:t xml:space="preserve">Beim </w:t>
      </w:r>
      <w:proofErr w:type="spellStart"/>
      <w:r w:rsidRPr="00B86B39">
        <w:rPr>
          <w:lang w:val="de-CH"/>
        </w:rPr>
        <w:t>Lernset</w:t>
      </w:r>
      <w:proofErr w:type="spellEnd"/>
      <w:r w:rsidRPr="00B86B39">
        <w:rPr>
          <w:lang w:val="de-CH"/>
        </w:rPr>
        <w:t xml:space="preserve"> «Wissen und Glauben» (</w:t>
      </w:r>
      <w:hyperlink r:id="rId7" w:history="1">
        <w:r>
          <w:rPr>
            <w:rStyle w:val="Hyperlink"/>
            <w:lang w:val="de-CH"/>
          </w:rPr>
          <w:t>www.lpbe.ch/5v</w:t>
        </w:r>
      </w:hyperlink>
      <w:r w:rsidRPr="00B86B39">
        <w:rPr>
          <w:lang w:val="de-CH"/>
        </w:rPr>
        <w:t xml:space="preserve">) steht eine Konfrontationsaufgabe im Zentrum, die über die ganze Lerneinheit bearbeitet und diskutiert wird. Somit bietet sich grundsätzlich eine Begleitung durch Reflexionsinstrumente, z.B. ein Lernjournal, an. Dieses eignet sich insbesondere zur formativen Beurteilung und zur Beurteilung des Lernprozesses. Darüber hinaus werden in den Bausteinen 2 und 3 konkrete Hinweise auf Beurteilungsanlässe gegeben. </w:t>
      </w:r>
    </w:p>
    <w:p w14:paraId="10F44C22" w14:textId="27C43683" w:rsidR="00B86B39" w:rsidRPr="00B86B39" w:rsidRDefault="00B86B39" w:rsidP="00B86B39">
      <w:pPr>
        <w:rPr>
          <w:lang w:val="de-CH"/>
        </w:rPr>
      </w:pPr>
      <w:r w:rsidRPr="00B86B39">
        <w:rPr>
          <w:lang w:val="de-CH"/>
        </w:rPr>
        <w:t xml:space="preserve">Untenstehend soll ein Vorschlag gemacht werden, wie die Konfrontationsaufgabe (in leicht abgeänderter Form) als Beurteilungsanlass dienen kann. </w:t>
      </w:r>
    </w:p>
    <w:p w14:paraId="0719752B" w14:textId="77777777" w:rsidR="00B86B39" w:rsidRPr="00B86B39" w:rsidRDefault="00B86B39" w:rsidP="00B86B39">
      <w:pPr>
        <w:pStyle w:val="berschrift1"/>
        <w:rPr>
          <w:lang w:val="de-CH"/>
        </w:rPr>
      </w:pPr>
      <w:r w:rsidRPr="00B86B39">
        <w:rPr>
          <w:lang w:val="de-CH"/>
        </w:rPr>
        <w:t>Was kann beurteilt werden?</w:t>
      </w:r>
    </w:p>
    <w:p w14:paraId="7760B3BE" w14:textId="416546DB" w:rsidR="00B86B39" w:rsidRDefault="00B86B39" w:rsidP="00B86B39">
      <w:pPr>
        <w:rPr>
          <w:lang w:val="de-CH"/>
        </w:rPr>
      </w:pPr>
      <w:r w:rsidRPr="00B86B39">
        <w:rPr>
          <w:lang w:val="de-CH"/>
        </w:rPr>
        <w:t xml:space="preserve">Die Kompetenz an sich kann nicht gemessen werden. Deshalb wird unterschieden zwischen Kompetenz und Lernergebnis. Kompetenzen enthalten nebst Wissenselementen und Elemente der konkreten Handlung, auch motivationale und Einstellungselemente, die nicht direkt messbar sind. Dahingegen lassen sich Wissen und Können (die Lernergebnisse – </w:t>
      </w:r>
      <w:proofErr w:type="spellStart"/>
      <w:r w:rsidRPr="00B86B39">
        <w:rPr>
          <w:lang w:val="de-CH"/>
        </w:rPr>
        <w:t>learning</w:t>
      </w:r>
      <w:proofErr w:type="spellEnd"/>
      <w:r w:rsidRPr="00B86B39">
        <w:rPr>
          <w:lang w:val="de-CH"/>
        </w:rPr>
        <w:t xml:space="preserve"> </w:t>
      </w:r>
      <w:proofErr w:type="spellStart"/>
      <w:r w:rsidRPr="00B86B39">
        <w:rPr>
          <w:lang w:val="de-CH"/>
        </w:rPr>
        <w:t>outcomes</w:t>
      </w:r>
      <w:proofErr w:type="spellEnd"/>
      <w:r w:rsidRPr="00B86B39">
        <w:rPr>
          <w:lang w:val="de-CH"/>
        </w:rPr>
        <w:t xml:space="preserve">) besser messen. Für das </w:t>
      </w:r>
      <w:proofErr w:type="spellStart"/>
      <w:r w:rsidRPr="00B86B39">
        <w:rPr>
          <w:lang w:val="de-CH"/>
        </w:rPr>
        <w:t>Lernset</w:t>
      </w:r>
      <w:proofErr w:type="spellEnd"/>
      <w:r w:rsidRPr="00B86B39">
        <w:rPr>
          <w:lang w:val="de-CH"/>
        </w:rPr>
        <w:t xml:space="preserve"> «Wissen und Glauben» heisst dies, dass wir nicht messen können, inwiefern die Lernenden in anlogen Situationen «angemessen» reagieren können bzw. auch entsprechend motiviert sind dies zu tun. Wir können aber messen, ob sie gewisse Fachbegriffe korrekt anwenden (Wissen). Wir können auch eruieren, ob sie in der Lage sind, ihren Standpunkt zu vertreten und diesen zu erklären (Können). Beides soll mit dem unten vorgeschlagenen Beurteilungsanlass erreicht werden.  </w:t>
      </w:r>
    </w:p>
    <w:p w14:paraId="79CB72F6" w14:textId="77777777" w:rsidR="00146A36" w:rsidRDefault="00146A36" w:rsidP="00146A36">
      <w:pPr>
        <w:pStyle w:val="berschrift1"/>
        <w:rPr>
          <w:lang w:val="de-CH"/>
        </w:rPr>
      </w:pPr>
      <w:r>
        <w:rPr>
          <w:lang w:val="de-CH"/>
        </w:rPr>
        <w:t>Aufgabenstellung</w:t>
      </w:r>
    </w:p>
    <w:p w14:paraId="0D062FD2" w14:textId="77777777" w:rsidR="00146A36" w:rsidRDefault="00146A36" w:rsidP="00146A36">
      <w:pPr>
        <w:rPr>
          <w:lang w:val="de-CH"/>
        </w:rPr>
      </w:pPr>
      <w:r w:rsidRPr="00B86B39">
        <w:rPr>
          <w:lang w:val="de-CH"/>
        </w:rPr>
        <w:t>Die Schülerinnen und Schüler bearbeiten die Konfrontationsaufgabe, wie sie dies über die ganze Lerneinheit hinweg bereits getan haben. Sie halten ihre Einschätzungen und Argumentationen schriftlich fest.</w:t>
      </w:r>
    </w:p>
    <w:p w14:paraId="706F75DF" w14:textId="77777777" w:rsidR="00B86B39" w:rsidRDefault="00B86B39" w:rsidP="00B86B39">
      <w:pPr>
        <w:rPr>
          <w:lang w:val="de-CH"/>
        </w:rPr>
      </w:pPr>
    </w:p>
    <w:p w14:paraId="2DB3F764" w14:textId="77777777" w:rsidR="00146A36" w:rsidRDefault="00146A36" w:rsidP="00B86B39">
      <w:pPr>
        <w:rPr>
          <w:lang w:val="de-CH"/>
        </w:rPr>
      </w:pPr>
    </w:p>
    <w:p w14:paraId="19A56975" w14:textId="77777777" w:rsidR="00146A36" w:rsidRDefault="00146A36" w:rsidP="00B86B39">
      <w:pPr>
        <w:rPr>
          <w:lang w:val="de-CH"/>
        </w:rPr>
      </w:pPr>
    </w:p>
    <w:p w14:paraId="42637A33" w14:textId="5BE83C5D" w:rsidR="00B86B39" w:rsidRPr="00146A36" w:rsidRDefault="00B86B39" w:rsidP="00B86B39">
      <w:pPr>
        <w:pStyle w:val="Quellenangaben"/>
        <w:rPr>
          <w:color w:val="000000" w:themeColor="text1"/>
        </w:rPr>
      </w:pPr>
      <w:r w:rsidRPr="00146A36">
        <w:rPr>
          <w:color w:val="000000" w:themeColor="text1"/>
        </w:rPr>
        <w:t xml:space="preserve">Weiterführend dazu siehe z.B. Weinert, Franz E. (2001): </w:t>
      </w:r>
    </w:p>
    <w:p w14:paraId="28DECA29" w14:textId="1F66B611" w:rsidR="00B86B39" w:rsidRPr="00146A36" w:rsidRDefault="00B86B39" w:rsidP="00B86B39">
      <w:pPr>
        <w:pStyle w:val="Quellenangaben"/>
        <w:numPr>
          <w:ilvl w:val="0"/>
          <w:numId w:val="5"/>
        </w:numPr>
        <w:ind w:left="284" w:hanging="284"/>
        <w:rPr>
          <w:color w:val="000000" w:themeColor="text1"/>
        </w:rPr>
      </w:pPr>
      <w:r w:rsidRPr="00146A36">
        <w:rPr>
          <w:i/>
          <w:iCs/>
          <w:color w:val="000000" w:themeColor="text1"/>
        </w:rPr>
        <w:t>Leistungsmessungen in Schulen.</w:t>
      </w:r>
      <w:r w:rsidRPr="00146A36">
        <w:rPr>
          <w:color w:val="000000" w:themeColor="text1"/>
        </w:rPr>
        <w:t xml:space="preserve"> Typoskript. Weinheim: Beltz (Beltz Pädagogik).</w:t>
      </w:r>
    </w:p>
    <w:p w14:paraId="05AC8945" w14:textId="14E824F7" w:rsidR="00B86B39" w:rsidRPr="00146A36" w:rsidRDefault="00B86B39" w:rsidP="00B86B39">
      <w:pPr>
        <w:pStyle w:val="Quellenangaben"/>
        <w:numPr>
          <w:ilvl w:val="0"/>
          <w:numId w:val="5"/>
        </w:numPr>
        <w:ind w:left="284" w:hanging="284"/>
        <w:rPr>
          <w:color w:val="000000" w:themeColor="text1"/>
        </w:rPr>
      </w:pPr>
      <w:r w:rsidRPr="00146A36">
        <w:rPr>
          <w:color w:val="000000" w:themeColor="text1"/>
        </w:rPr>
        <w:t>Wildt, Johannes; Wildt, Beatrix (2011): Lernprozessorientiertes Prüfen im «</w:t>
      </w:r>
      <w:proofErr w:type="spellStart"/>
      <w:r w:rsidRPr="00146A36">
        <w:rPr>
          <w:color w:val="000000" w:themeColor="text1"/>
        </w:rPr>
        <w:t>Constructive</w:t>
      </w:r>
      <w:proofErr w:type="spellEnd"/>
      <w:r w:rsidRPr="00146A36">
        <w:rPr>
          <w:color w:val="000000" w:themeColor="text1"/>
        </w:rPr>
        <w:t xml:space="preserve"> Alignment». </w:t>
      </w:r>
      <w:r w:rsidRPr="00146A36">
        <w:rPr>
          <w:i/>
          <w:iCs/>
          <w:color w:val="000000" w:themeColor="text1"/>
        </w:rPr>
        <w:t>Neues Handbuch Hochschullehre. Lehren und Lernen effizient gestalten.</w:t>
      </w:r>
      <w:r w:rsidRPr="00146A36">
        <w:rPr>
          <w:color w:val="000000" w:themeColor="text1"/>
        </w:rPr>
        <w:t xml:space="preserve"> Berlin: Raabe, H 6.1, 46 S.</w:t>
      </w:r>
    </w:p>
    <w:p w14:paraId="0530FE68" w14:textId="77777777" w:rsidR="00B86B39" w:rsidRDefault="00B86B39" w:rsidP="00B86B39">
      <w:pPr>
        <w:rPr>
          <w:lang w:val="de-CH"/>
        </w:rPr>
      </w:pPr>
    </w:p>
    <w:p w14:paraId="6524B95F" w14:textId="77777777" w:rsidR="00B86B39" w:rsidRDefault="00B86B39">
      <w:pPr>
        <w:rPr>
          <w:rFonts w:eastAsiaTheme="majorEastAsia" w:cstheme="majorBidi"/>
          <w:b/>
          <w:color w:val="000000" w:themeColor="text1"/>
          <w:szCs w:val="32"/>
          <w:lang w:val="de-CH"/>
        </w:rPr>
      </w:pPr>
      <w:r>
        <w:rPr>
          <w:lang w:val="de-CH"/>
        </w:rPr>
        <w:br w:type="page"/>
      </w:r>
    </w:p>
    <w:p w14:paraId="3C7AB78B" w14:textId="740F9409" w:rsidR="00146A36" w:rsidRPr="00146A36" w:rsidRDefault="00146A36" w:rsidP="00146A36">
      <w:pPr>
        <w:pStyle w:val="Titel"/>
        <w:rPr>
          <w:sz w:val="32"/>
          <w:szCs w:val="32"/>
        </w:rPr>
      </w:pPr>
      <w:r w:rsidRPr="00146A36">
        <w:rPr>
          <w:sz w:val="32"/>
          <w:szCs w:val="32"/>
        </w:rPr>
        <w:lastRenderedPageBreak/>
        <w:t xml:space="preserve">Konfrontationsaufgabe «Wissen und </w:t>
      </w:r>
      <w:r w:rsidR="00805497">
        <w:rPr>
          <w:sz w:val="32"/>
          <w:szCs w:val="32"/>
        </w:rPr>
        <w:t>Glauben</w:t>
      </w:r>
      <w:r w:rsidRPr="00146A36">
        <w:rPr>
          <w:sz w:val="32"/>
          <w:szCs w:val="32"/>
        </w:rPr>
        <w:t>»</w:t>
      </w:r>
    </w:p>
    <w:p w14:paraId="7BF5F454" w14:textId="77777777" w:rsidR="00146A36" w:rsidRDefault="00146A36" w:rsidP="00146A36"/>
    <w:p w14:paraId="4AE0146E" w14:textId="07023D4A" w:rsidR="00146A36" w:rsidRPr="00146A36" w:rsidRDefault="00146A36" w:rsidP="00146A36">
      <w:pPr>
        <w:rPr>
          <w:b/>
          <w:bCs/>
        </w:rPr>
      </w:pPr>
      <w:r w:rsidRPr="00146A36">
        <w:rPr>
          <w:b/>
          <w:bCs/>
        </w:rPr>
        <w:t>Situation</w:t>
      </w:r>
    </w:p>
    <w:p w14:paraId="117C9E00" w14:textId="77777777" w:rsidR="00146A36" w:rsidRDefault="00146A36" w:rsidP="00146A36">
      <w:r>
        <w:t xml:space="preserve">Du arbeitest beim Bundesamt für Gesundheit und sollst Empfehlungen dazu abgeben, ob folgende Heilmittel/Heilmethoden gegen eine tödliche Krankheit für den Schweizer Markt zugelassen werden sollen. Sollen die Mittel </w:t>
      </w:r>
      <w:proofErr w:type="spellStart"/>
      <w:r>
        <w:t>ausserdem</w:t>
      </w:r>
      <w:proofErr w:type="spellEnd"/>
      <w:r>
        <w:t xml:space="preserve"> von der Grundversicherung bezahlt werden oder nicht? </w:t>
      </w:r>
    </w:p>
    <w:p w14:paraId="74C617E6" w14:textId="77777777" w:rsidR="00146A36" w:rsidRDefault="00146A36" w:rsidP="00146A36"/>
    <w:p w14:paraId="6E8FD1B5" w14:textId="77777777" w:rsidR="00146A36" w:rsidRPr="00146A36" w:rsidRDefault="00146A36" w:rsidP="00146A36">
      <w:pPr>
        <w:rPr>
          <w:b/>
          <w:bCs/>
        </w:rPr>
      </w:pPr>
      <w:r w:rsidRPr="00146A36">
        <w:rPr>
          <w:b/>
          <w:bCs/>
        </w:rPr>
        <w:t xml:space="preserve">Entscheide also: </w:t>
      </w:r>
    </w:p>
    <w:p w14:paraId="1E6CF009" w14:textId="42C2B4C8" w:rsidR="00146A36" w:rsidRDefault="00146A36" w:rsidP="00146A36">
      <w:pPr>
        <w:pStyle w:val="Aufzhlung"/>
      </w:pPr>
      <w:r>
        <w:t>Zulassung Ja</w:t>
      </w:r>
      <w:r w:rsidRPr="00146A36">
        <w:rPr>
          <w:sz w:val="11"/>
          <w:szCs w:val="11"/>
        </w:rPr>
        <w:t xml:space="preserve"> </w:t>
      </w:r>
      <w:r>
        <w:t>/</w:t>
      </w:r>
      <w:r w:rsidRPr="00146A36">
        <w:rPr>
          <w:sz w:val="11"/>
          <w:szCs w:val="11"/>
        </w:rPr>
        <w:t xml:space="preserve"> </w:t>
      </w:r>
      <w:r>
        <w:t>Nein?</w:t>
      </w:r>
    </w:p>
    <w:p w14:paraId="544156AB" w14:textId="7A796B0C" w:rsidR="00146A36" w:rsidRDefault="00146A36" w:rsidP="00146A36">
      <w:pPr>
        <w:pStyle w:val="Aufzhlung"/>
      </w:pPr>
      <w:r>
        <w:t>Übernahme von der Krankenkasse Ja</w:t>
      </w:r>
      <w:r w:rsidRPr="00146A36">
        <w:rPr>
          <w:sz w:val="11"/>
          <w:szCs w:val="11"/>
        </w:rPr>
        <w:t xml:space="preserve"> </w:t>
      </w:r>
      <w:r>
        <w:t>/</w:t>
      </w:r>
      <w:r w:rsidRPr="00146A36">
        <w:rPr>
          <w:sz w:val="11"/>
          <w:szCs w:val="11"/>
        </w:rPr>
        <w:t xml:space="preserve"> </w:t>
      </w:r>
      <w:r>
        <w:t xml:space="preserve">Nein? </w:t>
      </w:r>
    </w:p>
    <w:p w14:paraId="69A6D04F" w14:textId="77777777" w:rsidR="00146A36" w:rsidRDefault="00146A36" w:rsidP="00146A36">
      <w:r>
        <w:t xml:space="preserve">Begründe Deine Entscheidungen in jedem Fall.  </w:t>
      </w:r>
    </w:p>
    <w:p w14:paraId="62F953FB" w14:textId="77777777" w:rsidR="00146A36" w:rsidRDefault="00146A36" w:rsidP="00146A36">
      <w:pPr>
        <w:jc w:val="both"/>
        <w:rPr>
          <w:szCs w:val="22"/>
        </w:rPr>
      </w:pPr>
    </w:p>
    <w:p w14:paraId="4A162D02" w14:textId="77777777" w:rsidR="00146A36" w:rsidRDefault="00146A36" w:rsidP="00146A36">
      <w:pPr>
        <w:jc w:val="both"/>
        <w:rPr>
          <w:rFonts w:cs="Arial"/>
          <w:b/>
          <w:bCs/>
          <w:szCs w:val="22"/>
        </w:rPr>
      </w:pPr>
    </w:p>
    <w:p w14:paraId="2E70086B" w14:textId="7501D946" w:rsidR="00146A36" w:rsidRPr="00146A36" w:rsidRDefault="00146A36" w:rsidP="00146A36">
      <w:pPr>
        <w:jc w:val="both"/>
        <w:rPr>
          <w:rFonts w:cs="Arial"/>
          <w:b/>
          <w:bCs/>
          <w:szCs w:val="22"/>
        </w:rPr>
      </w:pPr>
      <w:r w:rsidRPr="00146A36">
        <w:rPr>
          <w:rFonts w:cs="Arial"/>
          <w:b/>
          <w:bCs/>
          <w:szCs w:val="22"/>
        </w:rPr>
        <w:t>Heilmittel</w:t>
      </w:r>
    </w:p>
    <w:tbl>
      <w:tblPr>
        <w:tblStyle w:val="Tabellenraster"/>
        <w:tblW w:w="0" w:type="auto"/>
        <w:tblCellMar>
          <w:top w:w="57" w:type="dxa"/>
          <w:bottom w:w="57" w:type="dxa"/>
        </w:tblCellMar>
        <w:tblLook w:val="04A0" w:firstRow="1" w:lastRow="0" w:firstColumn="1" w:lastColumn="0" w:noHBand="0" w:noVBand="1"/>
      </w:tblPr>
      <w:tblGrid>
        <w:gridCol w:w="4528"/>
        <w:gridCol w:w="4528"/>
      </w:tblGrid>
      <w:tr w:rsidR="00146A36" w:rsidRPr="00146A36" w14:paraId="5086C82D" w14:textId="77777777" w:rsidTr="00146A36">
        <w:tc>
          <w:tcPr>
            <w:tcW w:w="4531" w:type="dxa"/>
          </w:tcPr>
          <w:p w14:paraId="5EE2FE63" w14:textId="4FC99465" w:rsidR="00146A36" w:rsidRPr="00146A36" w:rsidRDefault="00146A36" w:rsidP="00146A36">
            <w:pPr>
              <w:rPr>
                <w:rFonts w:cs="Arial"/>
                <w:b/>
                <w:bCs/>
              </w:rPr>
            </w:pPr>
            <w:proofErr w:type="spellStart"/>
            <w:r w:rsidRPr="00146A36">
              <w:rPr>
                <w:rFonts w:cs="Arial"/>
                <w:b/>
                <w:bCs/>
              </w:rPr>
              <w:t>Wurzimor</w:t>
            </w:r>
            <w:proofErr w:type="spellEnd"/>
          </w:p>
          <w:p w14:paraId="2A2FB7C6" w14:textId="00DDC054" w:rsidR="00146A36" w:rsidRPr="00146A36" w:rsidRDefault="00146A36" w:rsidP="00146A36">
            <w:pPr>
              <w:rPr>
                <w:rFonts w:cs="Arial"/>
              </w:rPr>
            </w:pPr>
            <w:r w:rsidRPr="00146A36">
              <w:rPr>
                <w:rFonts w:cs="Arial"/>
              </w:rPr>
              <w:t>Das Heilmittel wird von einem bekannten Pharmaunternehmen hergestellt und vertrieben. Mit neusten Mitteln werden verschiedene Wirkstoffe aus Pflanzen extrahiert und in Ethanol gelöst.</w:t>
            </w:r>
            <w:r>
              <w:rPr>
                <w:rFonts w:cs="Arial"/>
              </w:rPr>
              <w:t xml:space="preserve"> </w:t>
            </w:r>
            <w:r w:rsidRPr="00146A36">
              <w:rPr>
                <w:rFonts w:cs="Arial"/>
              </w:rPr>
              <w:t xml:space="preserve">Tests in den USA zeigen erste Erfolge. </w:t>
            </w:r>
          </w:p>
        </w:tc>
        <w:tc>
          <w:tcPr>
            <w:tcW w:w="4531" w:type="dxa"/>
          </w:tcPr>
          <w:p w14:paraId="29B050FA" w14:textId="034ECB66" w:rsidR="00146A36" w:rsidRPr="00146A36" w:rsidRDefault="00146A36" w:rsidP="00146A36">
            <w:pPr>
              <w:rPr>
                <w:rFonts w:cs="Arial"/>
                <w:b/>
                <w:bCs/>
              </w:rPr>
            </w:pPr>
            <w:r w:rsidRPr="00146A36">
              <w:rPr>
                <w:rFonts w:cs="Arial"/>
                <w:b/>
                <w:bCs/>
              </w:rPr>
              <w:t>Chinesische Medizin</w:t>
            </w:r>
          </w:p>
          <w:p w14:paraId="6C1F484E" w14:textId="77777777" w:rsidR="00146A36" w:rsidRPr="00146A36" w:rsidRDefault="00146A36" w:rsidP="00146A36">
            <w:pPr>
              <w:rPr>
                <w:rFonts w:cs="Arial"/>
              </w:rPr>
            </w:pPr>
            <w:r w:rsidRPr="00146A36">
              <w:rPr>
                <w:rFonts w:cs="Arial"/>
              </w:rPr>
              <w:t>Eine bewährte</w:t>
            </w:r>
            <w:r w:rsidRPr="00146A36">
              <w:rPr>
                <w:rFonts w:cs="Arial"/>
                <w:b/>
                <w:bCs/>
              </w:rPr>
              <w:t xml:space="preserve"> </w:t>
            </w:r>
            <w:r w:rsidRPr="00146A36">
              <w:rPr>
                <w:rFonts w:cs="Arial"/>
              </w:rPr>
              <w:t xml:space="preserve">Akkupunkturtechnik, die schon vor Jahrtausenden von chinesischen Mönchen entwickelt wurde. Um die Methode richtig zu praktizieren, braucht es eine spezielle Ausbildung. </w:t>
            </w:r>
          </w:p>
          <w:p w14:paraId="0725CF1A" w14:textId="77777777" w:rsidR="00146A36" w:rsidRPr="00146A36" w:rsidRDefault="00146A36" w:rsidP="00146A36">
            <w:pPr>
              <w:rPr>
                <w:rFonts w:cs="Arial"/>
              </w:rPr>
            </w:pPr>
          </w:p>
        </w:tc>
      </w:tr>
      <w:tr w:rsidR="00146A36" w:rsidRPr="00146A36" w14:paraId="05C741F5" w14:textId="77777777" w:rsidTr="00146A36">
        <w:tc>
          <w:tcPr>
            <w:tcW w:w="4531" w:type="dxa"/>
          </w:tcPr>
          <w:p w14:paraId="4B8B36A3" w14:textId="562819CD" w:rsidR="00146A36" w:rsidRPr="00146A36" w:rsidRDefault="00146A36" w:rsidP="00146A36">
            <w:pPr>
              <w:rPr>
                <w:rFonts w:cs="Arial"/>
                <w:b/>
                <w:bCs/>
              </w:rPr>
            </w:pPr>
            <w:proofErr w:type="spellStart"/>
            <w:r w:rsidRPr="00146A36">
              <w:rPr>
                <w:rFonts w:cs="Arial"/>
                <w:b/>
                <w:bCs/>
              </w:rPr>
              <w:t>Hacesano</w:t>
            </w:r>
            <w:proofErr w:type="spellEnd"/>
            <w:r w:rsidRPr="00146A36">
              <w:rPr>
                <w:rFonts w:cs="Arial"/>
                <w:b/>
                <w:bCs/>
              </w:rPr>
              <w:t>™</w:t>
            </w:r>
          </w:p>
          <w:p w14:paraId="6282ADEB" w14:textId="5CA2710F" w:rsidR="00146A36" w:rsidRPr="00146A36" w:rsidRDefault="00146A36" w:rsidP="00146A36">
            <w:pPr>
              <w:rPr>
                <w:rFonts w:cs="Arial"/>
              </w:rPr>
            </w:pPr>
            <w:r w:rsidRPr="00146A36">
              <w:rPr>
                <w:rFonts w:cs="Arial"/>
              </w:rPr>
              <w:t xml:space="preserve">Ein Medikament in Tablettenform, das in einem topmodernen Labor von führenden Experten entwickelt wurde. Das Unternehmen hat Millionen in die Forschung und Entwicklung investiert. Auf dem japanischen Markt ist das Medikament bereits zugelassen und steht in den USA kurz vor der Zulassung. </w:t>
            </w:r>
          </w:p>
        </w:tc>
        <w:tc>
          <w:tcPr>
            <w:tcW w:w="4531" w:type="dxa"/>
          </w:tcPr>
          <w:p w14:paraId="063B2A93" w14:textId="5B72C2A7" w:rsidR="00146A36" w:rsidRPr="00146A36" w:rsidRDefault="00146A36" w:rsidP="00146A36">
            <w:pPr>
              <w:rPr>
                <w:rFonts w:cs="Arial"/>
                <w:b/>
                <w:bCs/>
              </w:rPr>
            </w:pPr>
            <w:r w:rsidRPr="00146A36">
              <w:rPr>
                <w:rFonts w:cs="Arial"/>
                <w:b/>
                <w:bCs/>
              </w:rPr>
              <w:t>Naturheilmittel</w:t>
            </w:r>
          </w:p>
          <w:p w14:paraId="26DCF59D" w14:textId="647A4D0E" w:rsidR="00146A36" w:rsidRPr="00146A36" w:rsidRDefault="00146A36" w:rsidP="00146A36">
            <w:pPr>
              <w:rPr>
                <w:rFonts w:cs="Arial"/>
              </w:rPr>
            </w:pPr>
            <w:r w:rsidRPr="00146A36">
              <w:rPr>
                <w:rFonts w:cs="Arial"/>
              </w:rPr>
              <w:t>Ein Tee, der nach dem Essen eingenommen werden soll. Einer der Inhaltstoffe ist laut dem</w:t>
            </w:r>
            <w:r>
              <w:rPr>
                <w:rFonts w:cs="Arial"/>
              </w:rPr>
              <w:t xml:space="preserve"> </w:t>
            </w:r>
            <w:r w:rsidRPr="00146A36">
              <w:rPr>
                <w:rFonts w:cs="Arial"/>
              </w:rPr>
              <w:t xml:space="preserve">Betäubungsmittelgesetzt verboten, könnte aber als Medikament zugelassen werden. Verschiedene Studien deuten auf die Wirksamkeit des Tees hin. Andere betonen seine Toxizität. </w:t>
            </w:r>
          </w:p>
        </w:tc>
      </w:tr>
      <w:tr w:rsidR="00146A36" w:rsidRPr="00146A36" w14:paraId="7509738D" w14:textId="77777777" w:rsidTr="00146A36">
        <w:tc>
          <w:tcPr>
            <w:tcW w:w="4531" w:type="dxa"/>
          </w:tcPr>
          <w:p w14:paraId="77969053" w14:textId="5ED837F8" w:rsidR="00146A36" w:rsidRPr="00146A36" w:rsidRDefault="00146A36" w:rsidP="00146A36">
            <w:pPr>
              <w:rPr>
                <w:rFonts w:cs="Arial"/>
                <w:b/>
                <w:bCs/>
              </w:rPr>
            </w:pPr>
            <w:r w:rsidRPr="00146A36">
              <w:rPr>
                <w:rFonts w:cs="Arial"/>
                <w:b/>
                <w:bCs/>
              </w:rPr>
              <w:t>Homöopathie</w:t>
            </w:r>
          </w:p>
          <w:p w14:paraId="34D5F388" w14:textId="0DEEDD2D" w:rsidR="00146A36" w:rsidRPr="00146A36" w:rsidRDefault="00146A36" w:rsidP="00146A36">
            <w:pPr>
              <w:rPr>
                <w:rFonts w:cs="Arial"/>
              </w:rPr>
            </w:pPr>
            <w:r w:rsidRPr="00146A36">
              <w:rPr>
                <w:rFonts w:cs="Arial"/>
              </w:rPr>
              <w:t xml:space="preserve">Das Mittel wurde von einem bekannten Unternehmen für komplementärmedizinische Heilmittel hergestellt. Die Wirkung des Medikaments wird von einigen Ärzten angezweifelt. Von Heilpraktikern wird das Medikament aber als hoch wirksam gelobt. </w:t>
            </w:r>
          </w:p>
        </w:tc>
        <w:tc>
          <w:tcPr>
            <w:tcW w:w="4531" w:type="dxa"/>
          </w:tcPr>
          <w:p w14:paraId="2136A91B" w14:textId="27E81809" w:rsidR="00146A36" w:rsidRPr="00146A36" w:rsidRDefault="00146A36" w:rsidP="00146A36">
            <w:pPr>
              <w:rPr>
                <w:rFonts w:cs="Arial"/>
                <w:b/>
                <w:bCs/>
              </w:rPr>
            </w:pPr>
            <w:r w:rsidRPr="00146A36">
              <w:rPr>
                <w:rFonts w:cs="Arial"/>
                <w:b/>
                <w:bCs/>
              </w:rPr>
              <w:t>Trommelritual</w:t>
            </w:r>
          </w:p>
          <w:p w14:paraId="490233F2" w14:textId="77777777" w:rsidR="00146A36" w:rsidRPr="00146A36" w:rsidRDefault="00146A36" w:rsidP="00146A36">
            <w:pPr>
              <w:rPr>
                <w:rFonts w:cs="Arial"/>
              </w:rPr>
            </w:pPr>
            <w:r w:rsidRPr="00146A36">
              <w:rPr>
                <w:rFonts w:cs="Arial"/>
              </w:rPr>
              <w:t xml:space="preserve">Das Ritual kann nur zusammen mit ausgebildeten Spezialisten durchgeführt werden. Das Ritual soll einem hollisten Ansatz folgend, Seele und Körper reinigen und so die Krankheit besiegen. </w:t>
            </w:r>
          </w:p>
          <w:p w14:paraId="44406257" w14:textId="1FA7BAE7" w:rsidR="00146A36" w:rsidRPr="00146A36" w:rsidRDefault="00146A36" w:rsidP="00146A36">
            <w:pPr>
              <w:rPr>
                <w:rFonts w:cs="Arial"/>
              </w:rPr>
            </w:pPr>
            <w:r w:rsidRPr="00146A36">
              <w:rPr>
                <w:rFonts w:cs="Arial"/>
              </w:rPr>
              <w:t xml:space="preserve"> </w:t>
            </w:r>
          </w:p>
        </w:tc>
      </w:tr>
    </w:tbl>
    <w:p w14:paraId="41A43E13" w14:textId="77777777" w:rsidR="00B86B39" w:rsidRDefault="00B86B39" w:rsidP="00B86B39">
      <w:pPr>
        <w:rPr>
          <w:lang w:val="de-CH"/>
        </w:rPr>
      </w:pPr>
    </w:p>
    <w:p w14:paraId="4FCD5C2C" w14:textId="77777777" w:rsidR="00B86B39" w:rsidRPr="00B86B39" w:rsidRDefault="00B86B39" w:rsidP="00B86B39">
      <w:pPr>
        <w:rPr>
          <w:lang w:val="de-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268"/>
        <w:gridCol w:w="3418"/>
        <w:gridCol w:w="1345"/>
        <w:gridCol w:w="1345"/>
        <w:gridCol w:w="1345"/>
        <w:gridCol w:w="1345"/>
      </w:tblGrid>
      <w:tr w:rsidR="00736DB4" w14:paraId="28376282" w14:textId="77777777" w:rsidTr="00B86B39">
        <w:tc>
          <w:tcPr>
            <w:tcW w:w="3686" w:type="dxa"/>
            <w:gridSpan w:val="2"/>
            <w:tcBorders>
              <w:bottom w:val="single" w:sz="12" w:space="0" w:color="auto"/>
            </w:tcBorders>
          </w:tcPr>
          <w:p w14:paraId="5E8A1F62" w14:textId="1A0FE48D" w:rsidR="00736DB4" w:rsidRPr="002623DD" w:rsidRDefault="00B86B39" w:rsidP="00454DCC">
            <w:pPr>
              <w:rPr>
                <w:rFonts w:eastAsia="Times New Roman" w:cs="Arial"/>
                <w:b/>
                <w:bCs/>
                <w:sz w:val="20"/>
                <w:szCs w:val="20"/>
                <w:lang w:eastAsia="de-CH"/>
              </w:rPr>
            </w:pPr>
            <w:r>
              <w:rPr>
                <w:rFonts w:eastAsia="Times New Roman" w:cs="Arial"/>
                <w:b/>
                <w:bCs/>
                <w:sz w:val="20"/>
                <w:szCs w:val="20"/>
                <w:lang w:eastAsia="de-CH"/>
              </w:rPr>
              <w:t>Beurteilungskriterien</w:t>
            </w:r>
          </w:p>
        </w:tc>
        <w:tc>
          <w:tcPr>
            <w:tcW w:w="5380" w:type="dxa"/>
            <w:gridSpan w:val="4"/>
          </w:tcPr>
          <w:p w14:paraId="41F9D399" w14:textId="37533491" w:rsidR="00736DB4" w:rsidRPr="00B86B39" w:rsidRDefault="00736DB4" w:rsidP="00454DCC">
            <w:pPr>
              <w:rPr>
                <w:rFonts w:eastAsia="Times New Roman" w:cs="Arial"/>
                <w:b/>
                <w:bCs/>
                <w:sz w:val="16"/>
                <w:szCs w:val="16"/>
                <w:lang w:eastAsia="de-CH"/>
              </w:rPr>
            </w:pPr>
          </w:p>
        </w:tc>
      </w:tr>
      <w:tr w:rsidR="00736DB4" w14:paraId="524AFC82" w14:textId="77777777" w:rsidTr="00B86B39">
        <w:trPr>
          <w:trHeight w:val="416"/>
        </w:trPr>
        <w:tc>
          <w:tcPr>
            <w:tcW w:w="268" w:type="dxa"/>
            <w:tcMar>
              <w:top w:w="85" w:type="dxa"/>
            </w:tcMar>
          </w:tcPr>
          <w:p w14:paraId="79A85ED9" w14:textId="77777777" w:rsidR="00736DB4" w:rsidRDefault="00736DB4" w:rsidP="00736DB4">
            <w:pPr>
              <w:rPr>
                <w:rFonts w:eastAsia="Times New Roman" w:cs="Arial"/>
                <w:sz w:val="24"/>
                <w:lang w:eastAsia="de-CH"/>
              </w:rPr>
            </w:pPr>
          </w:p>
        </w:tc>
        <w:tc>
          <w:tcPr>
            <w:tcW w:w="3418" w:type="dxa"/>
            <w:tcBorders>
              <w:top w:val="single" w:sz="12" w:space="0" w:color="000000" w:themeColor="text1"/>
              <w:bottom w:val="single" w:sz="2" w:space="0" w:color="A6A6A6" w:themeColor="background1" w:themeShade="A6"/>
              <w:right w:val="single" w:sz="2" w:space="0" w:color="808080" w:themeColor="background1" w:themeShade="80"/>
            </w:tcBorders>
            <w:tcMar>
              <w:top w:w="85" w:type="dxa"/>
            </w:tcMar>
          </w:tcPr>
          <w:p w14:paraId="4B4BB081" w14:textId="3C7122C8" w:rsidR="00736DB4" w:rsidRPr="00300B8E" w:rsidRDefault="00B86B39" w:rsidP="00736DB4">
            <w:pPr>
              <w:jc w:val="right"/>
              <w:rPr>
                <w:rFonts w:eastAsia="Times New Roman" w:cs="Arial"/>
                <w:b/>
                <w:bCs/>
                <w:sz w:val="16"/>
                <w:szCs w:val="16"/>
                <w:lang w:eastAsia="de-CH"/>
              </w:rPr>
            </w:pPr>
            <w:r>
              <w:rPr>
                <w:rFonts w:eastAsia="Times New Roman" w:cs="Arial"/>
                <w:b/>
                <w:bCs/>
                <w:sz w:val="16"/>
                <w:szCs w:val="16"/>
                <w:lang w:eastAsia="de-CH"/>
              </w:rPr>
              <w:t>Punkte:</w:t>
            </w:r>
          </w:p>
        </w:tc>
        <w:tc>
          <w:tcPr>
            <w:tcW w:w="1345" w:type="dxa"/>
            <w:tcBorders>
              <w:top w:val="single" w:sz="12" w:space="0" w:color="000000" w:themeColor="text1"/>
              <w:left w:val="single" w:sz="2" w:space="0" w:color="808080" w:themeColor="background1" w:themeShade="80"/>
              <w:bottom w:val="single" w:sz="2" w:space="0" w:color="A6A6A6" w:themeColor="background1" w:themeShade="A6"/>
              <w:right w:val="single" w:sz="2" w:space="0" w:color="808080" w:themeColor="background1" w:themeShade="80"/>
            </w:tcBorders>
            <w:shd w:val="clear" w:color="auto" w:fill="auto"/>
            <w:tcMar>
              <w:top w:w="85" w:type="dxa"/>
            </w:tcMar>
          </w:tcPr>
          <w:p w14:paraId="006436D3" w14:textId="77777777" w:rsidR="00736DB4" w:rsidRDefault="00B86B39" w:rsidP="00B86B39">
            <w:pPr>
              <w:jc w:val="center"/>
              <w:rPr>
                <w:rFonts w:eastAsia="Times New Roman" w:cs="Arial"/>
                <w:b/>
                <w:sz w:val="16"/>
                <w:szCs w:val="16"/>
                <w:lang w:eastAsia="de-CH"/>
              </w:rPr>
            </w:pPr>
            <w:r>
              <w:rPr>
                <w:rFonts w:eastAsia="Times New Roman" w:cs="Arial"/>
                <w:b/>
                <w:sz w:val="16"/>
                <w:szCs w:val="16"/>
                <w:lang w:eastAsia="de-CH"/>
              </w:rPr>
              <w:t>1</w:t>
            </w:r>
          </w:p>
          <w:p w14:paraId="31BF2080" w14:textId="67A1D76F" w:rsidR="00B86B39" w:rsidRPr="00B86B39" w:rsidRDefault="00B86B39" w:rsidP="00B86B39">
            <w:pPr>
              <w:jc w:val="center"/>
              <w:rPr>
                <w:rFonts w:eastAsia="Times New Roman" w:cs="Arial"/>
                <w:sz w:val="16"/>
                <w:szCs w:val="16"/>
                <w:lang w:eastAsia="de-CH"/>
              </w:rPr>
            </w:pPr>
            <w:r w:rsidRPr="00B86B39">
              <w:rPr>
                <w:rFonts w:eastAsia="Times New Roman" w:cs="Arial"/>
                <w:sz w:val="16"/>
                <w:szCs w:val="16"/>
                <w:lang w:eastAsia="de-CH"/>
              </w:rPr>
              <w:t>nicht erfüllt</w:t>
            </w:r>
          </w:p>
        </w:tc>
        <w:tc>
          <w:tcPr>
            <w:tcW w:w="1345" w:type="dxa"/>
            <w:tcBorders>
              <w:top w:val="single" w:sz="12" w:space="0" w:color="000000" w:themeColor="text1"/>
              <w:left w:val="single" w:sz="2" w:space="0" w:color="808080" w:themeColor="background1" w:themeShade="80"/>
              <w:bottom w:val="single" w:sz="2" w:space="0" w:color="A6A6A6" w:themeColor="background1" w:themeShade="A6"/>
              <w:right w:val="single" w:sz="2" w:space="0" w:color="808080" w:themeColor="background1" w:themeShade="80"/>
            </w:tcBorders>
            <w:shd w:val="clear" w:color="auto" w:fill="auto"/>
            <w:tcMar>
              <w:top w:w="85" w:type="dxa"/>
            </w:tcMar>
          </w:tcPr>
          <w:p w14:paraId="00F710F1" w14:textId="430C4ED2" w:rsidR="00B86B39" w:rsidRPr="00B86B39" w:rsidRDefault="00B86B39" w:rsidP="00B86B39">
            <w:pPr>
              <w:jc w:val="center"/>
              <w:rPr>
                <w:rFonts w:eastAsia="Times New Roman" w:cs="Arial"/>
                <w:b/>
                <w:sz w:val="16"/>
                <w:szCs w:val="16"/>
                <w:lang w:eastAsia="de-CH"/>
              </w:rPr>
            </w:pPr>
            <w:r w:rsidRPr="00B86B39">
              <w:rPr>
                <w:rFonts w:eastAsia="Times New Roman" w:cs="Arial"/>
                <w:b/>
                <w:sz w:val="16"/>
                <w:szCs w:val="16"/>
                <w:lang w:eastAsia="de-CH"/>
              </w:rPr>
              <w:t>2</w:t>
            </w:r>
          </w:p>
          <w:p w14:paraId="0C4EADF6" w14:textId="1D2B1C50" w:rsidR="00736DB4" w:rsidRPr="00B86B39" w:rsidRDefault="00B86B39" w:rsidP="00B86B39">
            <w:pPr>
              <w:jc w:val="center"/>
              <w:rPr>
                <w:rFonts w:eastAsia="Times New Roman" w:cs="Arial"/>
                <w:bCs/>
                <w:sz w:val="16"/>
                <w:szCs w:val="16"/>
                <w:lang w:eastAsia="de-CH"/>
              </w:rPr>
            </w:pPr>
            <w:r w:rsidRPr="00B86B39">
              <w:rPr>
                <w:rFonts w:eastAsia="Times New Roman" w:cs="Arial"/>
                <w:bCs/>
                <w:sz w:val="16"/>
                <w:szCs w:val="16"/>
                <w:lang w:eastAsia="de-CH"/>
              </w:rPr>
              <w:t>teilweise erfüllt</w:t>
            </w:r>
          </w:p>
        </w:tc>
        <w:tc>
          <w:tcPr>
            <w:tcW w:w="1345" w:type="dxa"/>
            <w:tcBorders>
              <w:top w:val="single" w:sz="12" w:space="0" w:color="000000" w:themeColor="text1"/>
              <w:left w:val="single" w:sz="2" w:space="0" w:color="808080" w:themeColor="background1" w:themeShade="80"/>
              <w:bottom w:val="single" w:sz="2" w:space="0" w:color="A6A6A6" w:themeColor="background1" w:themeShade="A6"/>
              <w:right w:val="single" w:sz="2" w:space="0" w:color="808080" w:themeColor="background1" w:themeShade="80"/>
            </w:tcBorders>
          </w:tcPr>
          <w:p w14:paraId="5E4B1276" w14:textId="4A38AD39" w:rsidR="00B86B39" w:rsidRPr="00B86B39" w:rsidRDefault="00B86B39" w:rsidP="00B86B39">
            <w:pPr>
              <w:jc w:val="center"/>
              <w:rPr>
                <w:rFonts w:eastAsia="Times New Roman" w:cs="Arial"/>
                <w:b/>
                <w:sz w:val="16"/>
                <w:szCs w:val="16"/>
                <w:lang w:eastAsia="de-CH"/>
              </w:rPr>
            </w:pPr>
            <w:r w:rsidRPr="00B86B39">
              <w:rPr>
                <w:rFonts w:eastAsia="Times New Roman" w:cs="Arial"/>
                <w:b/>
                <w:sz w:val="16"/>
                <w:szCs w:val="16"/>
                <w:lang w:eastAsia="de-CH"/>
              </w:rPr>
              <w:t>3</w:t>
            </w:r>
          </w:p>
          <w:p w14:paraId="41747994" w14:textId="3E6D6CE5" w:rsidR="00736DB4" w:rsidRPr="00B86B39" w:rsidRDefault="00B86B39" w:rsidP="00B86B39">
            <w:pPr>
              <w:jc w:val="center"/>
              <w:rPr>
                <w:rFonts w:eastAsia="Times New Roman" w:cs="Arial"/>
                <w:bCs/>
                <w:sz w:val="16"/>
                <w:szCs w:val="16"/>
                <w:lang w:eastAsia="de-CH"/>
              </w:rPr>
            </w:pPr>
            <w:r w:rsidRPr="00B86B39">
              <w:rPr>
                <w:rFonts w:eastAsia="Times New Roman" w:cs="Arial"/>
                <w:bCs/>
                <w:sz w:val="16"/>
                <w:szCs w:val="16"/>
                <w:lang w:eastAsia="de-CH"/>
              </w:rPr>
              <w:t>erfüllt</w:t>
            </w:r>
          </w:p>
        </w:tc>
        <w:tc>
          <w:tcPr>
            <w:tcW w:w="1345" w:type="dxa"/>
            <w:tcBorders>
              <w:top w:val="single" w:sz="12" w:space="0" w:color="000000" w:themeColor="text1"/>
              <w:left w:val="single" w:sz="2" w:space="0" w:color="808080" w:themeColor="background1" w:themeShade="80"/>
              <w:bottom w:val="single" w:sz="2" w:space="0" w:color="A6A6A6" w:themeColor="background1" w:themeShade="A6"/>
              <w:right w:val="single" w:sz="2" w:space="0" w:color="808080" w:themeColor="background1" w:themeShade="80"/>
            </w:tcBorders>
            <w:shd w:val="clear" w:color="auto" w:fill="auto"/>
            <w:tcMar>
              <w:top w:w="85" w:type="dxa"/>
            </w:tcMar>
          </w:tcPr>
          <w:p w14:paraId="695D028E" w14:textId="7B5A42DD" w:rsidR="00B86B39" w:rsidRPr="00B86B39" w:rsidRDefault="00B86B39" w:rsidP="00B86B39">
            <w:pPr>
              <w:jc w:val="center"/>
              <w:rPr>
                <w:rFonts w:eastAsia="Times New Roman" w:cs="Arial"/>
                <w:b/>
                <w:sz w:val="16"/>
                <w:szCs w:val="16"/>
                <w:lang w:eastAsia="de-CH"/>
              </w:rPr>
            </w:pPr>
            <w:r w:rsidRPr="00B86B39">
              <w:rPr>
                <w:rFonts w:eastAsia="Times New Roman" w:cs="Arial"/>
                <w:b/>
                <w:sz w:val="16"/>
                <w:szCs w:val="16"/>
                <w:lang w:eastAsia="de-CH"/>
              </w:rPr>
              <w:t>4</w:t>
            </w:r>
          </w:p>
          <w:p w14:paraId="2C68F9FC" w14:textId="5E073AC1" w:rsidR="00736DB4" w:rsidRPr="00B86B39" w:rsidRDefault="00B86B39" w:rsidP="00B86B39">
            <w:pPr>
              <w:jc w:val="center"/>
              <w:rPr>
                <w:rFonts w:eastAsia="Times New Roman" w:cs="Arial"/>
                <w:bCs/>
                <w:sz w:val="16"/>
                <w:szCs w:val="16"/>
                <w:lang w:eastAsia="de-CH"/>
              </w:rPr>
            </w:pPr>
            <w:r w:rsidRPr="00B86B39">
              <w:rPr>
                <w:rFonts w:eastAsia="Times New Roman" w:cs="Arial"/>
                <w:bCs/>
                <w:sz w:val="16"/>
                <w:szCs w:val="16"/>
                <w:lang w:eastAsia="de-CH"/>
              </w:rPr>
              <w:t>mehr als erfüllt</w:t>
            </w:r>
          </w:p>
        </w:tc>
      </w:tr>
      <w:tr w:rsidR="00B86B39" w14:paraId="3E137C86" w14:textId="77777777" w:rsidTr="00B86B39">
        <w:trPr>
          <w:trHeight w:val="283"/>
        </w:trPr>
        <w:tc>
          <w:tcPr>
            <w:tcW w:w="3686" w:type="dxa"/>
            <w:gridSpan w:val="2"/>
            <w:tcBorders>
              <w:top w:val="single" w:sz="2" w:space="0" w:color="A6A6A6" w:themeColor="background1" w:themeShade="A6"/>
              <w:bottom w:val="single" w:sz="2" w:space="0" w:color="A6A6A6" w:themeColor="background1" w:themeShade="A6"/>
              <w:right w:val="single" w:sz="2" w:space="0" w:color="808080" w:themeColor="background1" w:themeShade="80"/>
            </w:tcBorders>
            <w:shd w:val="clear" w:color="auto" w:fill="F2F2F2" w:themeFill="background1" w:themeFillShade="F2"/>
            <w:tcMar>
              <w:left w:w="0" w:type="dxa"/>
            </w:tcMar>
            <w:vAlign w:val="center"/>
          </w:tcPr>
          <w:p w14:paraId="74849209" w14:textId="7979FE18" w:rsidR="00B86B39" w:rsidRPr="00B86B39" w:rsidRDefault="00B86B39" w:rsidP="00B86B39">
            <w:pPr>
              <w:rPr>
                <w:sz w:val="16"/>
                <w:szCs w:val="16"/>
              </w:rPr>
            </w:pPr>
            <w:r w:rsidRPr="00B86B39">
              <w:rPr>
                <w:sz w:val="16"/>
                <w:szCs w:val="16"/>
                <w:lang w:eastAsia="de-CH"/>
              </w:rPr>
              <w:t>Fachbegriffe werden verstanden</w:t>
            </w:r>
          </w:p>
        </w:tc>
        <w:tc>
          <w:tcPr>
            <w:tcW w:w="1345" w:type="dxa"/>
            <w:tcBorders>
              <w:top w:val="single" w:sz="2" w:space="0" w:color="A6A6A6" w:themeColor="background1" w:themeShade="A6"/>
              <w:left w:val="single" w:sz="2" w:space="0" w:color="808080" w:themeColor="background1" w:themeShade="80"/>
              <w:bottom w:val="single" w:sz="2" w:space="0" w:color="A6A6A6" w:themeColor="background1" w:themeShade="A6"/>
              <w:right w:val="single" w:sz="2" w:space="0" w:color="808080" w:themeColor="background1" w:themeShade="80"/>
            </w:tcBorders>
            <w:shd w:val="clear" w:color="auto" w:fill="F2F2F2" w:themeFill="background1" w:themeFillShade="F2"/>
            <w:vAlign w:val="center"/>
          </w:tcPr>
          <w:p w14:paraId="1CE34D38" w14:textId="72899401" w:rsidR="00B86B39" w:rsidRPr="00B86B39" w:rsidRDefault="00B86B39" w:rsidP="00B86B39">
            <w:pPr>
              <w:jc w:val="center"/>
              <w:rPr>
                <w:sz w:val="16"/>
                <w:szCs w:val="16"/>
              </w:rPr>
            </w:pPr>
          </w:p>
        </w:tc>
        <w:tc>
          <w:tcPr>
            <w:tcW w:w="1345" w:type="dxa"/>
            <w:tcBorders>
              <w:top w:val="single" w:sz="2" w:space="0" w:color="A6A6A6" w:themeColor="background1" w:themeShade="A6"/>
              <w:left w:val="single" w:sz="2" w:space="0" w:color="808080" w:themeColor="background1" w:themeShade="80"/>
              <w:bottom w:val="single" w:sz="2" w:space="0" w:color="A6A6A6" w:themeColor="background1" w:themeShade="A6"/>
              <w:right w:val="single" w:sz="2" w:space="0" w:color="808080" w:themeColor="background1" w:themeShade="80"/>
            </w:tcBorders>
            <w:shd w:val="clear" w:color="auto" w:fill="F2F2F2" w:themeFill="background1" w:themeFillShade="F2"/>
            <w:vAlign w:val="center"/>
          </w:tcPr>
          <w:p w14:paraId="57163130" w14:textId="3C5AC289" w:rsidR="00B86B39" w:rsidRPr="00B86B39" w:rsidRDefault="00B86B39" w:rsidP="00B86B39">
            <w:pPr>
              <w:jc w:val="center"/>
              <w:rPr>
                <w:sz w:val="16"/>
                <w:szCs w:val="16"/>
              </w:rPr>
            </w:pPr>
          </w:p>
        </w:tc>
        <w:tc>
          <w:tcPr>
            <w:tcW w:w="1345" w:type="dxa"/>
            <w:tcBorders>
              <w:top w:val="single" w:sz="2" w:space="0" w:color="A6A6A6" w:themeColor="background1" w:themeShade="A6"/>
              <w:left w:val="single" w:sz="2" w:space="0" w:color="808080" w:themeColor="background1" w:themeShade="80"/>
              <w:bottom w:val="single" w:sz="2" w:space="0" w:color="A6A6A6" w:themeColor="background1" w:themeShade="A6"/>
              <w:right w:val="single" w:sz="2" w:space="0" w:color="808080" w:themeColor="background1" w:themeShade="80"/>
            </w:tcBorders>
            <w:shd w:val="clear" w:color="auto" w:fill="F2F2F2" w:themeFill="background1" w:themeFillShade="F2"/>
            <w:vAlign w:val="center"/>
          </w:tcPr>
          <w:p w14:paraId="0F239A8E" w14:textId="6CF1AF0B" w:rsidR="00B86B39" w:rsidRPr="00B86B39" w:rsidRDefault="00B86B39" w:rsidP="00B86B39">
            <w:pPr>
              <w:jc w:val="center"/>
              <w:rPr>
                <w:sz w:val="16"/>
                <w:szCs w:val="16"/>
              </w:rPr>
            </w:pPr>
          </w:p>
        </w:tc>
        <w:tc>
          <w:tcPr>
            <w:tcW w:w="1345" w:type="dxa"/>
            <w:tcBorders>
              <w:top w:val="single" w:sz="2" w:space="0" w:color="A6A6A6" w:themeColor="background1" w:themeShade="A6"/>
              <w:left w:val="single" w:sz="2" w:space="0" w:color="808080" w:themeColor="background1" w:themeShade="80"/>
              <w:bottom w:val="single" w:sz="2" w:space="0" w:color="A6A6A6" w:themeColor="background1" w:themeShade="A6"/>
              <w:right w:val="single" w:sz="2" w:space="0" w:color="808080" w:themeColor="background1" w:themeShade="80"/>
            </w:tcBorders>
            <w:shd w:val="clear" w:color="auto" w:fill="F2F2F2" w:themeFill="background1" w:themeFillShade="F2"/>
            <w:vAlign w:val="center"/>
          </w:tcPr>
          <w:p w14:paraId="0969E219" w14:textId="0866C90F" w:rsidR="00B86B39" w:rsidRPr="00B86B39" w:rsidRDefault="00B86B39" w:rsidP="00B86B39">
            <w:pPr>
              <w:jc w:val="center"/>
              <w:rPr>
                <w:sz w:val="16"/>
                <w:szCs w:val="16"/>
              </w:rPr>
            </w:pPr>
          </w:p>
        </w:tc>
      </w:tr>
      <w:tr w:rsidR="00B86B39" w14:paraId="6A2C1604" w14:textId="77777777" w:rsidTr="00B86B39">
        <w:trPr>
          <w:trHeight w:val="283"/>
        </w:trPr>
        <w:tc>
          <w:tcPr>
            <w:tcW w:w="3686" w:type="dxa"/>
            <w:gridSpan w:val="2"/>
            <w:tcBorders>
              <w:top w:val="single" w:sz="2" w:space="0" w:color="A6A6A6" w:themeColor="background1" w:themeShade="A6"/>
              <w:bottom w:val="single" w:sz="2" w:space="0" w:color="A6A6A6" w:themeColor="background1" w:themeShade="A6"/>
              <w:right w:val="single" w:sz="2" w:space="0" w:color="808080" w:themeColor="background1" w:themeShade="80"/>
            </w:tcBorders>
            <w:shd w:val="clear" w:color="auto" w:fill="BFBFBF" w:themeFill="background1" w:themeFillShade="BF"/>
            <w:tcMar>
              <w:left w:w="0" w:type="dxa"/>
            </w:tcMar>
            <w:vAlign w:val="center"/>
          </w:tcPr>
          <w:p w14:paraId="6275D04A" w14:textId="3B4C1EA9" w:rsidR="00B86B39" w:rsidRPr="00B86B39" w:rsidRDefault="00B86B39" w:rsidP="00B86B39">
            <w:pPr>
              <w:rPr>
                <w:sz w:val="16"/>
                <w:szCs w:val="16"/>
              </w:rPr>
            </w:pPr>
            <w:r w:rsidRPr="00B86B39">
              <w:rPr>
                <w:sz w:val="16"/>
                <w:szCs w:val="16"/>
                <w:lang w:eastAsia="de-CH"/>
              </w:rPr>
              <w:t>Fachbegriffe werden korrekt angewendet</w:t>
            </w:r>
          </w:p>
        </w:tc>
        <w:tc>
          <w:tcPr>
            <w:tcW w:w="1345" w:type="dxa"/>
            <w:tcBorders>
              <w:top w:val="single" w:sz="2" w:space="0" w:color="A6A6A6" w:themeColor="background1" w:themeShade="A6"/>
              <w:left w:val="single" w:sz="2" w:space="0" w:color="808080" w:themeColor="background1" w:themeShade="80"/>
              <w:bottom w:val="single" w:sz="2" w:space="0" w:color="A6A6A6" w:themeColor="background1" w:themeShade="A6"/>
              <w:right w:val="single" w:sz="2" w:space="0" w:color="808080" w:themeColor="background1" w:themeShade="80"/>
            </w:tcBorders>
            <w:shd w:val="clear" w:color="auto" w:fill="BFBFBF" w:themeFill="background1" w:themeFillShade="BF"/>
            <w:vAlign w:val="center"/>
          </w:tcPr>
          <w:p w14:paraId="5CC497E0" w14:textId="76C0188A" w:rsidR="00B86B39" w:rsidRPr="00B86B39" w:rsidRDefault="00B86B39" w:rsidP="00B86B39">
            <w:pPr>
              <w:jc w:val="center"/>
              <w:rPr>
                <w:sz w:val="16"/>
                <w:szCs w:val="16"/>
              </w:rPr>
            </w:pPr>
          </w:p>
        </w:tc>
        <w:tc>
          <w:tcPr>
            <w:tcW w:w="1345" w:type="dxa"/>
            <w:tcBorders>
              <w:top w:val="single" w:sz="2" w:space="0" w:color="A6A6A6" w:themeColor="background1" w:themeShade="A6"/>
              <w:left w:val="single" w:sz="2" w:space="0" w:color="808080" w:themeColor="background1" w:themeShade="80"/>
              <w:bottom w:val="single" w:sz="2" w:space="0" w:color="A6A6A6" w:themeColor="background1" w:themeShade="A6"/>
              <w:right w:val="single" w:sz="2" w:space="0" w:color="808080" w:themeColor="background1" w:themeShade="80"/>
            </w:tcBorders>
            <w:shd w:val="clear" w:color="auto" w:fill="BFBFBF" w:themeFill="background1" w:themeFillShade="BF"/>
            <w:vAlign w:val="center"/>
          </w:tcPr>
          <w:p w14:paraId="7D0342EA" w14:textId="508E1B74" w:rsidR="00B86B39" w:rsidRPr="00B86B39" w:rsidRDefault="00B86B39" w:rsidP="00B86B39">
            <w:pPr>
              <w:jc w:val="center"/>
              <w:rPr>
                <w:sz w:val="16"/>
                <w:szCs w:val="16"/>
              </w:rPr>
            </w:pPr>
          </w:p>
        </w:tc>
        <w:tc>
          <w:tcPr>
            <w:tcW w:w="1345" w:type="dxa"/>
            <w:tcBorders>
              <w:top w:val="single" w:sz="2" w:space="0" w:color="A6A6A6" w:themeColor="background1" w:themeShade="A6"/>
              <w:left w:val="single" w:sz="2" w:space="0" w:color="808080" w:themeColor="background1" w:themeShade="80"/>
              <w:bottom w:val="single" w:sz="2" w:space="0" w:color="A6A6A6" w:themeColor="background1" w:themeShade="A6"/>
              <w:right w:val="single" w:sz="2" w:space="0" w:color="808080" w:themeColor="background1" w:themeShade="80"/>
            </w:tcBorders>
            <w:shd w:val="clear" w:color="auto" w:fill="BFBFBF" w:themeFill="background1" w:themeFillShade="BF"/>
            <w:vAlign w:val="center"/>
          </w:tcPr>
          <w:p w14:paraId="614D693E" w14:textId="31D842F9" w:rsidR="00B86B39" w:rsidRPr="00B86B39" w:rsidRDefault="00B86B39" w:rsidP="00B86B39">
            <w:pPr>
              <w:jc w:val="center"/>
              <w:rPr>
                <w:sz w:val="16"/>
                <w:szCs w:val="16"/>
              </w:rPr>
            </w:pPr>
          </w:p>
        </w:tc>
        <w:tc>
          <w:tcPr>
            <w:tcW w:w="1345" w:type="dxa"/>
            <w:tcBorders>
              <w:top w:val="single" w:sz="2" w:space="0" w:color="A6A6A6" w:themeColor="background1" w:themeShade="A6"/>
              <w:left w:val="single" w:sz="2" w:space="0" w:color="808080" w:themeColor="background1" w:themeShade="80"/>
              <w:bottom w:val="single" w:sz="2" w:space="0" w:color="A6A6A6" w:themeColor="background1" w:themeShade="A6"/>
              <w:right w:val="single" w:sz="2" w:space="0" w:color="808080" w:themeColor="background1" w:themeShade="80"/>
            </w:tcBorders>
            <w:shd w:val="clear" w:color="auto" w:fill="BFBFBF" w:themeFill="background1" w:themeFillShade="BF"/>
            <w:vAlign w:val="center"/>
          </w:tcPr>
          <w:p w14:paraId="012B0359" w14:textId="1AD67F24" w:rsidR="00B86B39" w:rsidRPr="00B86B39" w:rsidRDefault="00B86B39" w:rsidP="00B86B39">
            <w:pPr>
              <w:jc w:val="center"/>
              <w:rPr>
                <w:sz w:val="16"/>
                <w:szCs w:val="16"/>
              </w:rPr>
            </w:pPr>
          </w:p>
        </w:tc>
      </w:tr>
      <w:tr w:rsidR="00B86B39" w14:paraId="1ECA0DAD" w14:textId="77777777" w:rsidTr="00B86B39">
        <w:trPr>
          <w:trHeight w:val="283"/>
        </w:trPr>
        <w:tc>
          <w:tcPr>
            <w:tcW w:w="3686" w:type="dxa"/>
            <w:gridSpan w:val="2"/>
            <w:tcBorders>
              <w:top w:val="single" w:sz="2" w:space="0" w:color="A6A6A6" w:themeColor="background1" w:themeShade="A6"/>
              <w:bottom w:val="single" w:sz="2" w:space="0" w:color="A6A6A6" w:themeColor="background1" w:themeShade="A6"/>
              <w:right w:val="single" w:sz="2" w:space="0" w:color="808080" w:themeColor="background1" w:themeShade="80"/>
            </w:tcBorders>
            <w:shd w:val="clear" w:color="auto" w:fill="F2F2F2" w:themeFill="background1" w:themeFillShade="F2"/>
            <w:tcMar>
              <w:left w:w="0" w:type="dxa"/>
            </w:tcMar>
            <w:vAlign w:val="center"/>
          </w:tcPr>
          <w:p w14:paraId="44889D9C" w14:textId="0A5F1598" w:rsidR="00B86B39" w:rsidRPr="00B86B39" w:rsidRDefault="00B86B39" w:rsidP="00B86B39">
            <w:pPr>
              <w:rPr>
                <w:sz w:val="16"/>
                <w:szCs w:val="16"/>
              </w:rPr>
            </w:pPr>
            <w:r w:rsidRPr="00B86B39">
              <w:rPr>
                <w:sz w:val="16"/>
                <w:szCs w:val="16"/>
                <w:lang w:eastAsia="de-CH"/>
              </w:rPr>
              <w:t>Kann einen klaren Standpunkt beziehen</w:t>
            </w:r>
          </w:p>
        </w:tc>
        <w:tc>
          <w:tcPr>
            <w:tcW w:w="1345" w:type="dxa"/>
            <w:tcBorders>
              <w:top w:val="single" w:sz="2" w:space="0" w:color="A6A6A6" w:themeColor="background1" w:themeShade="A6"/>
              <w:left w:val="single" w:sz="2" w:space="0" w:color="808080" w:themeColor="background1" w:themeShade="80"/>
              <w:bottom w:val="single" w:sz="2" w:space="0" w:color="A6A6A6" w:themeColor="background1" w:themeShade="A6"/>
              <w:right w:val="single" w:sz="2" w:space="0" w:color="808080" w:themeColor="background1" w:themeShade="80"/>
            </w:tcBorders>
            <w:shd w:val="clear" w:color="auto" w:fill="F2F2F2" w:themeFill="background1" w:themeFillShade="F2"/>
            <w:vAlign w:val="center"/>
          </w:tcPr>
          <w:p w14:paraId="481346A8" w14:textId="6CA8AF63" w:rsidR="00B86B39" w:rsidRPr="00B86B39" w:rsidRDefault="00B86B39" w:rsidP="00B86B39">
            <w:pPr>
              <w:jc w:val="center"/>
              <w:rPr>
                <w:sz w:val="16"/>
                <w:szCs w:val="16"/>
              </w:rPr>
            </w:pPr>
          </w:p>
        </w:tc>
        <w:tc>
          <w:tcPr>
            <w:tcW w:w="1345" w:type="dxa"/>
            <w:tcBorders>
              <w:top w:val="single" w:sz="2" w:space="0" w:color="A6A6A6" w:themeColor="background1" w:themeShade="A6"/>
              <w:left w:val="single" w:sz="2" w:space="0" w:color="808080" w:themeColor="background1" w:themeShade="80"/>
              <w:bottom w:val="single" w:sz="2" w:space="0" w:color="A6A6A6" w:themeColor="background1" w:themeShade="A6"/>
              <w:right w:val="single" w:sz="2" w:space="0" w:color="808080" w:themeColor="background1" w:themeShade="80"/>
            </w:tcBorders>
            <w:shd w:val="clear" w:color="auto" w:fill="F2F2F2" w:themeFill="background1" w:themeFillShade="F2"/>
            <w:vAlign w:val="center"/>
          </w:tcPr>
          <w:p w14:paraId="268A84D5" w14:textId="6EC091DD" w:rsidR="00B86B39" w:rsidRPr="00B86B39" w:rsidRDefault="00B86B39" w:rsidP="00B86B39">
            <w:pPr>
              <w:jc w:val="center"/>
              <w:rPr>
                <w:sz w:val="16"/>
                <w:szCs w:val="16"/>
              </w:rPr>
            </w:pPr>
          </w:p>
        </w:tc>
        <w:tc>
          <w:tcPr>
            <w:tcW w:w="1345" w:type="dxa"/>
            <w:tcBorders>
              <w:top w:val="single" w:sz="2" w:space="0" w:color="A6A6A6" w:themeColor="background1" w:themeShade="A6"/>
              <w:left w:val="single" w:sz="2" w:space="0" w:color="808080" w:themeColor="background1" w:themeShade="80"/>
              <w:bottom w:val="single" w:sz="2" w:space="0" w:color="A6A6A6" w:themeColor="background1" w:themeShade="A6"/>
              <w:right w:val="single" w:sz="2" w:space="0" w:color="808080" w:themeColor="background1" w:themeShade="80"/>
            </w:tcBorders>
            <w:shd w:val="clear" w:color="auto" w:fill="F2F2F2" w:themeFill="background1" w:themeFillShade="F2"/>
            <w:vAlign w:val="center"/>
          </w:tcPr>
          <w:p w14:paraId="21E0C2E5" w14:textId="3A6FD163" w:rsidR="00B86B39" w:rsidRPr="00B86B39" w:rsidRDefault="00B86B39" w:rsidP="00B86B39">
            <w:pPr>
              <w:jc w:val="center"/>
              <w:rPr>
                <w:sz w:val="16"/>
                <w:szCs w:val="16"/>
              </w:rPr>
            </w:pPr>
          </w:p>
        </w:tc>
        <w:tc>
          <w:tcPr>
            <w:tcW w:w="1345" w:type="dxa"/>
            <w:tcBorders>
              <w:top w:val="single" w:sz="2" w:space="0" w:color="A6A6A6" w:themeColor="background1" w:themeShade="A6"/>
              <w:left w:val="single" w:sz="2" w:space="0" w:color="808080" w:themeColor="background1" w:themeShade="80"/>
              <w:bottom w:val="single" w:sz="2" w:space="0" w:color="A6A6A6" w:themeColor="background1" w:themeShade="A6"/>
              <w:right w:val="single" w:sz="2" w:space="0" w:color="808080" w:themeColor="background1" w:themeShade="80"/>
            </w:tcBorders>
            <w:shd w:val="clear" w:color="auto" w:fill="F2F2F2" w:themeFill="background1" w:themeFillShade="F2"/>
            <w:vAlign w:val="center"/>
          </w:tcPr>
          <w:p w14:paraId="2B16A524" w14:textId="5A66F271" w:rsidR="00B86B39" w:rsidRPr="00B86B39" w:rsidRDefault="00B86B39" w:rsidP="00B86B39">
            <w:pPr>
              <w:jc w:val="center"/>
              <w:rPr>
                <w:sz w:val="16"/>
                <w:szCs w:val="16"/>
              </w:rPr>
            </w:pPr>
          </w:p>
        </w:tc>
      </w:tr>
      <w:tr w:rsidR="00B86B39" w14:paraId="658C9F9B" w14:textId="77777777" w:rsidTr="00B86B39">
        <w:trPr>
          <w:trHeight w:val="283"/>
        </w:trPr>
        <w:tc>
          <w:tcPr>
            <w:tcW w:w="3686" w:type="dxa"/>
            <w:gridSpan w:val="2"/>
            <w:tcBorders>
              <w:top w:val="single" w:sz="2" w:space="0" w:color="A6A6A6" w:themeColor="background1" w:themeShade="A6"/>
              <w:bottom w:val="single" w:sz="2" w:space="0" w:color="A6A6A6" w:themeColor="background1" w:themeShade="A6"/>
              <w:right w:val="single" w:sz="2" w:space="0" w:color="808080" w:themeColor="background1" w:themeShade="80"/>
            </w:tcBorders>
            <w:shd w:val="clear" w:color="auto" w:fill="BFBFBF" w:themeFill="background1" w:themeFillShade="BF"/>
            <w:tcMar>
              <w:left w:w="0" w:type="dxa"/>
            </w:tcMar>
            <w:vAlign w:val="center"/>
          </w:tcPr>
          <w:p w14:paraId="4396A35A" w14:textId="30614769" w:rsidR="00B86B39" w:rsidRPr="00B86B39" w:rsidRDefault="00B86B39" w:rsidP="00B86B39">
            <w:pPr>
              <w:rPr>
                <w:sz w:val="16"/>
                <w:szCs w:val="16"/>
              </w:rPr>
            </w:pPr>
            <w:r w:rsidRPr="00B86B39">
              <w:rPr>
                <w:sz w:val="16"/>
                <w:szCs w:val="16"/>
                <w:lang w:eastAsia="de-CH"/>
              </w:rPr>
              <w:t>Kann Entscheidung begründen</w:t>
            </w:r>
          </w:p>
        </w:tc>
        <w:tc>
          <w:tcPr>
            <w:tcW w:w="1345" w:type="dxa"/>
            <w:tcBorders>
              <w:top w:val="single" w:sz="2" w:space="0" w:color="A6A6A6" w:themeColor="background1" w:themeShade="A6"/>
              <w:left w:val="single" w:sz="2" w:space="0" w:color="808080" w:themeColor="background1" w:themeShade="80"/>
              <w:bottom w:val="single" w:sz="2" w:space="0" w:color="A6A6A6" w:themeColor="background1" w:themeShade="A6"/>
              <w:right w:val="single" w:sz="2" w:space="0" w:color="808080" w:themeColor="background1" w:themeShade="80"/>
            </w:tcBorders>
            <w:shd w:val="clear" w:color="auto" w:fill="BFBFBF" w:themeFill="background1" w:themeFillShade="BF"/>
            <w:vAlign w:val="center"/>
          </w:tcPr>
          <w:p w14:paraId="05059688" w14:textId="791D06E1" w:rsidR="00B86B39" w:rsidRPr="00B86B39" w:rsidRDefault="00B86B39" w:rsidP="00B86B39">
            <w:pPr>
              <w:jc w:val="center"/>
              <w:rPr>
                <w:sz w:val="16"/>
                <w:szCs w:val="16"/>
              </w:rPr>
            </w:pPr>
          </w:p>
        </w:tc>
        <w:tc>
          <w:tcPr>
            <w:tcW w:w="1345" w:type="dxa"/>
            <w:tcBorders>
              <w:top w:val="single" w:sz="2" w:space="0" w:color="A6A6A6" w:themeColor="background1" w:themeShade="A6"/>
              <w:left w:val="single" w:sz="2" w:space="0" w:color="808080" w:themeColor="background1" w:themeShade="80"/>
              <w:bottom w:val="single" w:sz="2" w:space="0" w:color="A6A6A6" w:themeColor="background1" w:themeShade="A6"/>
              <w:right w:val="single" w:sz="2" w:space="0" w:color="808080" w:themeColor="background1" w:themeShade="80"/>
            </w:tcBorders>
            <w:shd w:val="clear" w:color="auto" w:fill="BFBFBF" w:themeFill="background1" w:themeFillShade="BF"/>
            <w:vAlign w:val="center"/>
          </w:tcPr>
          <w:p w14:paraId="426C82EC" w14:textId="595DA8AE" w:rsidR="00B86B39" w:rsidRPr="00B86B39" w:rsidRDefault="00B86B39" w:rsidP="00B86B39">
            <w:pPr>
              <w:jc w:val="center"/>
              <w:rPr>
                <w:sz w:val="16"/>
                <w:szCs w:val="16"/>
              </w:rPr>
            </w:pPr>
          </w:p>
        </w:tc>
        <w:tc>
          <w:tcPr>
            <w:tcW w:w="1345" w:type="dxa"/>
            <w:tcBorders>
              <w:top w:val="single" w:sz="2" w:space="0" w:color="A6A6A6" w:themeColor="background1" w:themeShade="A6"/>
              <w:left w:val="single" w:sz="2" w:space="0" w:color="808080" w:themeColor="background1" w:themeShade="80"/>
              <w:bottom w:val="single" w:sz="2" w:space="0" w:color="A6A6A6" w:themeColor="background1" w:themeShade="A6"/>
              <w:right w:val="single" w:sz="2" w:space="0" w:color="808080" w:themeColor="background1" w:themeShade="80"/>
            </w:tcBorders>
            <w:shd w:val="clear" w:color="auto" w:fill="BFBFBF" w:themeFill="background1" w:themeFillShade="BF"/>
            <w:vAlign w:val="center"/>
          </w:tcPr>
          <w:p w14:paraId="3F1A5A0C" w14:textId="6C8C31C1" w:rsidR="00B86B39" w:rsidRPr="00B86B39" w:rsidRDefault="00B86B39" w:rsidP="00B86B39">
            <w:pPr>
              <w:jc w:val="center"/>
              <w:rPr>
                <w:sz w:val="16"/>
                <w:szCs w:val="16"/>
              </w:rPr>
            </w:pPr>
          </w:p>
        </w:tc>
        <w:tc>
          <w:tcPr>
            <w:tcW w:w="1345" w:type="dxa"/>
            <w:tcBorders>
              <w:top w:val="single" w:sz="2" w:space="0" w:color="A6A6A6" w:themeColor="background1" w:themeShade="A6"/>
              <w:left w:val="single" w:sz="2" w:space="0" w:color="808080" w:themeColor="background1" w:themeShade="80"/>
              <w:bottom w:val="single" w:sz="2" w:space="0" w:color="A6A6A6" w:themeColor="background1" w:themeShade="A6"/>
              <w:right w:val="single" w:sz="2" w:space="0" w:color="808080" w:themeColor="background1" w:themeShade="80"/>
            </w:tcBorders>
            <w:shd w:val="clear" w:color="auto" w:fill="BFBFBF" w:themeFill="background1" w:themeFillShade="BF"/>
            <w:vAlign w:val="center"/>
          </w:tcPr>
          <w:p w14:paraId="57E77552" w14:textId="5ECCA96A" w:rsidR="00B86B39" w:rsidRPr="00B86B39" w:rsidRDefault="00B86B39" w:rsidP="00B86B39">
            <w:pPr>
              <w:jc w:val="center"/>
              <w:rPr>
                <w:sz w:val="16"/>
                <w:szCs w:val="16"/>
              </w:rPr>
            </w:pPr>
          </w:p>
        </w:tc>
      </w:tr>
      <w:tr w:rsidR="00B86B39" w14:paraId="2B0AF183" w14:textId="77777777" w:rsidTr="00B86B39">
        <w:trPr>
          <w:trHeight w:val="283"/>
        </w:trPr>
        <w:tc>
          <w:tcPr>
            <w:tcW w:w="3686" w:type="dxa"/>
            <w:gridSpan w:val="2"/>
            <w:tcBorders>
              <w:top w:val="single" w:sz="2" w:space="0" w:color="A6A6A6" w:themeColor="background1" w:themeShade="A6"/>
              <w:right w:val="single" w:sz="2" w:space="0" w:color="808080" w:themeColor="background1" w:themeShade="80"/>
            </w:tcBorders>
            <w:shd w:val="clear" w:color="auto" w:fill="F2F2F2" w:themeFill="background1" w:themeFillShade="F2"/>
            <w:tcMar>
              <w:left w:w="0" w:type="dxa"/>
            </w:tcMar>
            <w:vAlign w:val="center"/>
          </w:tcPr>
          <w:p w14:paraId="1B55A6E1" w14:textId="04FAF5A4" w:rsidR="00B86B39" w:rsidRPr="00B86B39" w:rsidRDefault="00B86B39" w:rsidP="00B86B39">
            <w:pPr>
              <w:rPr>
                <w:sz w:val="16"/>
                <w:szCs w:val="16"/>
              </w:rPr>
            </w:pPr>
            <w:r w:rsidRPr="00B86B39">
              <w:rPr>
                <w:sz w:val="16"/>
                <w:szCs w:val="16"/>
                <w:lang w:eastAsia="de-CH"/>
              </w:rPr>
              <w:t>Begründung/Argumentation ist in sich schlüssig</w:t>
            </w:r>
          </w:p>
        </w:tc>
        <w:tc>
          <w:tcPr>
            <w:tcW w:w="1345" w:type="dxa"/>
            <w:tcBorders>
              <w:top w:val="single" w:sz="2" w:space="0" w:color="A6A6A6" w:themeColor="background1" w:themeShade="A6"/>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FEFD6A9" w14:textId="0B487811" w:rsidR="00B86B39" w:rsidRPr="00B86B39" w:rsidRDefault="00B86B39" w:rsidP="00B86B39">
            <w:pPr>
              <w:jc w:val="center"/>
              <w:rPr>
                <w:sz w:val="16"/>
                <w:szCs w:val="16"/>
              </w:rPr>
            </w:pPr>
          </w:p>
        </w:tc>
        <w:tc>
          <w:tcPr>
            <w:tcW w:w="1345" w:type="dxa"/>
            <w:tcBorders>
              <w:top w:val="single" w:sz="2" w:space="0" w:color="A6A6A6" w:themeColor="background1" w:themeShade="A6"/>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F0AF1D3" w14:textId="1FD00B26" w:rsidR="00B86B39" w:rsidRPr="00B86B39" w:rsidRDefault="00B86B39" w:rsidP="00B86B39">
            <w:pPr>
              <w:jc w:val="center"/>
              <w:rPr>
                <w:sz w:val="16"/>
                <w:szCs w:val="16"/>
              </w:rPr>
            </w:pPr>
          </w:p>
        </w:tc>
        <w:tc>
          <w:tcPr>
            <w:tcW w:w="1345" w:type="dxa"/>
            <w:tcBorders>
              <w:top w:val="single" w:sz="2" w:space="0" w:color="A6A6A6" w:themeColor="background1" w:themeShade="A6"/>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A7A12E5" w14:textId="6C0891D8" w:rsidR="00B86B39" w:rsidRPr="00B86B39" w:rsidRDefault="00B86B39" w:rsidP="00B86B39">
            <w:pPr>
              <w:jc w:val="center"/>
              <w:rPr>
                <w:sz w:val="16"/>
                <w:szCs w:val="16"/>
              </w:rPr>
            </w:pPr>
          </w:p>
        </w:tc>
        <w:tc>
          <w:tcPr>
            <w:tcW w:w="1345" w:type="dxa"/>
            <w:tcBorders>
              <w:top w:val="single" w:sz="2" w:space="0" w:color="A6A6A6" w:themeColor="background1" w:themeShade="A6"/>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1EC2317" w14:textId="3138D322" w:rsidR="00B86B39" w:rsidRPr="00B86B39" w:rsidRDefault="00B86B39" w:rsidP="00B86B39">
            <w:pPr>
              <w:jc w:val="center"/>
              <w:rPr>
                <w:sz w:val="16"/>
                <w:szCs w:val="16"/>
              </w:rPr>
            </w:pPr>
          </w:p>
        </w:tc>
      </w:tr>
    </w:tbl>
    <w:p w14:paraId="20F47288" w14:textId="77777777" w:rsidR="00714EC1" w:rsidRDefault="00714EC1" w:rsidP="00714EC1">
      <w:pPr>
        <w:rPr>
          <w:rFonts w:eastAsia="Times New Roman" w:cs="Arial"/>
          <w:bCs/>
          <w:sz w:val="18"/>
          <w:szCs w:val="18"/>
          <w:lang w:eastAsia="de-CH"/>
        </w:rPr>
      </w:pPr>
    </w:p>
    <w:sectPr w:rsidR="00714EC1" w:rsidSect="009B7154">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C7108" w14:textId="77777777" w:rsidR="00AD02E5" w:rsidRDefault="00AD02E5" w:rsidP="00F40AB2">
      <w:r>
        <w:separator/>
      </w:r>
    </w:p>
  </w:endnote>
  <w:endnote w:type="continuationSeparator" w:id="0">
    <w:p w14:paraId="45AA5FB9" w14:textId="77777777" w:rsidR="00AD02E5" w:rsidRDefault="00AD02E5" w:rsidP="00F4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52293" w14:textId="067A8D16" w:rsidR="00F40AB2" w:rsidRDefault="007C230B" w:rsidP="00F40AB2">
    <w:pPr>
      <w:pStyle w:val="Fuzeile"/>
      <w:ind w:left="4536" w:hanging="4536"/>
      <w:rPr>
        <w:rFonts w:cs="Arial"/>
        <w:color w:val="000000" w:themeColor="text1"/>
        <w:sz w:val="14"/>
        <w:szCs w:val="14"/>
      </w:rPr>
    </w:pPr>
    <w:r>
      <w:rPr>
        <w:rFonts w:cs="Arial"/>
        <w:noProof/>
        <w:color w:val="000000" w:themeColor="text1"/>
        <w:sz w:val="14"/>
        <w:szCs w:val="14"/>
        <w:lang w:eastAsia="de-DE"/>
      </w:rPr>
      <mc:AlternateContent>
        <mc:Choice Requires="wps">
          <w:drawing>
            <wp:anchor distT="0" distB="0" distL="114300" distR="114300" simplePos="0" relativeHeight="251660288" behindDoc="0" locked="0" layoutInCell="1" allowOverlap="1" wp14:anchorId="41A13111" wp14:editId="37766ABC">
              <wp:simplePos x="0" y="0"/>
              <wp:positionH relativeFrom="column">
                <wp:posOffset>1894840</wp:posOffset>
              </wp:positionH>
              <wp:positionV relativeFrom="paragraph">
                <wp:posOffset>-15875</wp:posOffset>
              </wp:positionV>
              <wp:extent cx="0" cy="539750"/>
              <wp:effectExtent l="0" t="0" r="25400" b="19050"/>
              <wp:wrapNone/>
              <wp:docPr id="2" name="Gerade Verbindung 2"/>
              <wp:cNvGraphicFramePr/>
              <a:graphic xmlns:a="http://schemas.openxmlformats.org/drawingml/2006/main">
                <a:graphicData uri="http://schemas.microsoft.com/office/word/2010/wordprocessingShape">
                  <wps:wsp>
                    <wps:cNvCnPr/>
                    <wps:spPr>
                      <a:xfrm>
                        <a:off x="0" y="0"/>
                        <a:ext cx="0" cy="53975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25F992E7" id="Gerade Verbindung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2pt,-1.2pt" to="149.2pt,41.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" strokecolor="#cfcdcd [2894]" strokeweight=".5pt">
              <v:stroke joinstyle="miter"/>
            </v:line>
          </w:pict>
        </mc:Fallback>
      </mc:AlternateContent>
    </w:r>
    <w:r>
      <w:rPr>
        <w:rFonts w:cs="Arial"/>
        <w:noProof/>
        <w:color w:val="000000" w:themeColor="text1"/>
        <w:sz w:val="14"/>
        <w:szCs w:val="14"/>
        <w:lang w:eastAsia="de-DE"/>
      </w:rPr>
      <mc:AlternateContent>
        <mc:Choice Requires="wps">
          <w:drawing>
            <wp:anchor distT="0" distB="0" distL="114300" distR="114300" simplePos="0" relativeHeight="251662336" behindDoc="0" locked="0" layoutInCell="1" allowOverlap="1" wp14:anchorId="4658044D" wp14:editId="497C0FC9">
              <wp:simplePos x="0" y="0"/>
              <wp:positionH relativeFrom="column">
                <wp:posOffset>2010410</wp:posOffset>
              </wp:positionH>
              <wp:positionV relativeFrom="paragraph">
                <wp:posOffset>-17145</wp:posOffset>
              </wp:positionV>
              <wp:extent cx="4455795" cy="539750"/>
              <wp:effectExtent l="0" t="0" r="0" b="0"/>
              <wp:wrapNone/>
              <wp:docPr id="5" name="Textfeld 5"/>
              <wp:cNvGraphicFramePr/>
              <a:graphic xmlns:a="http://schemas.openxmlformats.org/drawingml/2006/main">
                <a:graphicData uri="http://schemas.microsoft.com/office/word/2010/wordprocessingShape">
                  <wps:wsp>
                    <wps:cNvSpPr txBox="1"/>
                    <wps:spPr>
                      <a:xfrm>
                        <a:off x="0" y="0"/>
                        <a:ext cx="4455795" cy="5397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09A5D68" w14:textId="2E10E6E7" w:rsidR="00F243A5" w:rsidRPr="007C230B" w:rsidRDefault="00F243A5" w:rsidP="00F243A5">
                          <w:pPr>
                            <w:tabs>
                              <w:tab w:val="left" w:pos="994"/>
                            </w:tabs>
                            <w:rPr>
                              <w:rFonts w:cs="Arial"/>
                              <w:b/>
                              <w:color w:val="000000" w:themeColor="text1"/>
                              <w:sz w:val="14"/>
                              <w:szCs w:val="14"/>
                            </w:rPr>
                          </w:pPr>
                          <w:r w:rsidRPr="007C230B">
                            <w:rPr>
                              <w:rFonts w:cs="Arial"/>
                              <w:b/>
                              <w:color w:val="000000" w:themeColor="text1"/>
                              <w:sz w:val="14"/>
                              <w:szCs w:val="14"/>
                            </w:rPr>
                            <w:t>Titel:</w:t>
                          </w:r>
                          <w:r w:rsidRPr="007C230B">
                            <w:rPr>
                              <w:rFonts w:cs="Arial"/>
                              <w:b/>
                              <w:color w:val="000000" w:themeColor="text1"/>
                              <w:sz w:val="14"/>
                              <w:szCs w:val="14"/>
                            </w:rPr>
                            <w:tab/>
                            <w:t xml:space="preserve"> </w:t>
                          </w:r>
                          <w:r w:rsidR="00805497">
                            <w:rPr>
                              <w:rFonts w:cs="Arial"/>
                              <w:b/>
                              <w:color w:val="000000" w:themeColor="text1"/>
                              <w:sz w:val="14"/>
                              <w:szCs w:val="14"/>
                            </w:rPr>
                            <w:t>Beurteilungsanlass «Wissen und Glauben»</w:t>
                          </w:r>
                        </w:p>
                        <w:p w14:paraId="4CFE3FD0" w14:textId="77777777" w:rsidR="00F243A5" w:rsidRPr="00080038" w:rsidRDefault="00F243A5" w:rsidP="00F243A5">
                          <w:pPr>
                            <w:tabs>
                              <w:tab w:val="left" w:pos="994"/>
                            </w:tabs>
                            <w:rPr>
                              <w:rFonts w:cs="Arial"/>
                              <w:color w:val="000000" w:themeColor="text1"/>
                              <w:sz w:val="14"/>
                              <w:szCs w:val="14"/>
                            </w:rPr>
                          </w:pPr>
                          <w:r w:rsidRPr="00080038">
                            <w:rPr>
                              <w:rFonts w:cs="Arial"/>
                              <w:color w:val="000000" w:themeColor="text1"/>
                              <w:sz w:val="14"/>
                              <w:szCs w:val="14"/>
                            </w:rPr>
                            <w:t>Autorin/Autor:</w:t>
                          </w:r>
                          <w:r>
                            <w:rPr>
                              <w:rFonts w:cs="Arial"/>
                              <w:color w:val="000000" w:themeColor="text1"/>
                              <w:sz w:val="14"/>
                              <w:szCs w:val="14"/>
                            </w:rPr>
                            <w:tab/>
                            <w:t xml:space="preserve"> </w:t>
                          </w:r>
                          <w:proofErr w:type="spellStart"/>
                          <w:r>
                            <w:rPr>
                              <w:rFonts w:cs="Arial"/>
                              <w:color w:val="000000" w:themeColor="text1"/>
                              <w:sz w:val="14"/>
                              <w:szCs w:val="14"/>
                            </w:rPr>
                            <w:t>Janir</w:t>
                          </w:r>
                          <w:proofErr w:type="spellEnd"/>
                          <w:r>
                            <w:rPr>
                              <w:rFonts w:cs="Arial"/>
                              <w:color w:val="000000" w:themeColor="text1"/>
                              <w:sz w:val="14"/>
                              <w:szCs w:val="14"/>
                            </w:rPr>
                            <w:t xml:space="preserve"> </w:t>
                          </w:r>
                          <w:proofErr w:type="spellStart"/>
                          <w:r>
                            <w:rPr>
                              <w:rFonts w:cs="Arial"/>
                              <w:color w:val="000000" w:themeColor="text1"/>
                              <w:sz w:val="14"/>
                              <w:szCs w:val="14"/>
                            </w:rPr>
                            <w:t>Atlan</w:t>
                          </w:r>
                          <w:proofErr w:type="spellEnd"/>
                          <w:r>
                            <w:rPr>
                              <w:rFonts w:cs="Arial"/>
                              <w:color w:val="000000" w:themeColor="text1"/>
                              <w:sz w:val="14"/>
                              <w:szCs w:val="14"/>
                            </w:rPr>
                            <w:t xml:space="preserve">, </w:t>
                          </w:r>
                          <w:r w:rsidRPr="00F243A5">
                            <w:rPr>
                              <w:rFonts w:cs="Arial"/>
                              <w:color w:val="000000" w:themeColor="text1"/>
                              <w:sz w:val="14"/>
                              <w:szCs w:val="14"/>
                            </w:rPr>
                            <w:t>Dr. Yves Mühlematter</w:t>
                          </w:r>
                          <w:r>
                            <w:rPr>
                              <w:rFonts w:cs="Arial"/>
                              <w:color w:val="000000" w:themeColor="text1"/>
                              <w:sz w:val="14"/>
                              <w:szCs w:val="14"/>
                            </w:rPr>
                            <w:t xml:space="preserve">; </w:t>
                          </w:r>
                          <w:r w:rsidRPr="00F243A5">
                            <w:rPr>
                              <w:rFonts w:cs="Arial"/>
                              <w:color w:val="000000" w:themeColor="text1"/>
                              <w:sz w:val="14"/>
                              <w:szCs w:val="14"/>
                            </w:rPr>
                            <w:t>Andreas Studer</w:t>
                          </w:r>
                        </w:p>
                        <w:p w14:paraId="50E2F104" w14:textId="77777777" w:rsidR="00F243A5" w:rsidRPr="00080038" w:rsidRDefault="00F243A5" w:rsidP="00F243A5">
                          <w:pPr>
                            <w:tabs>
                              <w:tab w:val="left" w:pos="994"/>
                            </w:tabs>
                            <w:rPr>
                              <w:rFonts w:cs="Arial"/>
                              <w:color w:val="000000" w:themeColor="text1"/>
                              <w:sz w:val="14"/>
                              <w:szCs w:val="14"/>
                            </w:rPr>
                          </w:pPr>
                          <w:r w:rsidRPr="00080038">
                            <w:rPr>
                              <w:rFonts w:cs="Arial"/>
                              <w:color w:val="000000" w:themeColor="text1"/>
                              <w:sz w:val="14"/>
                              <w:szCs w:val="14"/>
                            </w:rPr>
                            <w:t>Version:</w:t>
                          </w:r>
                          <w:r>
                            <w:rPr>
                              <w:rFonts w:cs="Arial"/>
                              <w:color w:val="000000" w:themeColor="text1"/>
                              <w:sz w:val="14"/>
                              <w:szCs w:val="14"/>
                            </w:rPr>
                            <w:tab/>
                            <w:t xml:space="preserve"> 01</w:t>
                          </w:r>
                        </w:p>
                        <w:p w14:paraId="4E2378D6" w14:textId="76435A15" w:rsidR="00080038" w:rsidRPr="00080038" w:rsidRDefault="00F243A5" w:rsidP="007C230B">
                          <w:pPr>
                            <w:tabs>
                              <w:tab w:val="left" w:pos="994"/>
                            </w:tabs>
                            <w:rPr>
                              <w:rFonts w:cs="Arial"/>
                              <w:color w:val="000000" w:themeColor="text1"/>
                              <w:sz w:val="14"/>
                              <w:szCs w:val="14"/>
                            </w:rPr>
                          </w:pPr>
                          <w:r w:rsidRPr="00080038">
                            <w:rPr>
                              <w:rFonts w:cs="Arial"/>
                              <w:color w:val="000000" w:themeColor="text1"/>
                              <w:sz w:val="14"/>
                              <w:szCs w:val="14"/>
                            </w:rPr>
                            <w:t>Datum:</w:t>
                          </w:r>
                          <w:r>
                            <w:rPr>
                              <w:rFonts w:cs="Arial"/>
                              <w:color w:val="000000" w:themeColor="text1"/>
                              <w:sz w:val="14"/>
                              <w:szCs w:val="14"/>
                            </w:rPr>
                            <w:tab/>
                            <w:t xml:space="preserve"> 1.12.2023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58044D" id="_x0000_t202" coordsize="21600,21600" o:spt="202" path="m,l,21600r21600,l21600,xe">
              <v:stroke joinstyle="miter"/>
              <v:path gradientshapeok="t" o:connecttype="rect"/>
            </v:shapetype>
            <v:shape id="Textfeld 5" o:spid="_x0000_s1026" type="#_x0000_t202" style="position:absolute;left:0;text-align:left;margin-left:158.3pt;margin-top:-1.35pt;width:350.85pt;height: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" filled="f" stroked="f">
              <v:textbox>
                <w:txbxContent>
                  <w:p w14:paraId="509A5D68" w14:textId="2E10E6E7" w:rsidR="00F243A5" w:rsidRPr="007C230B" w:rsidRDefault="00F243A5" w:rsidP="00F243A5">
                    <w:pPr>
                      <w:tabs>
                        <w:tab w:val="left" w:pos="994"/>
                      </w:tabs>
                      <w:rPr>
                        <w:rFonts w:cs="Arial"/>
                        <w:b/>
                        <w:color w:val="000000" w:themeColor="text1"/>
                        <w:sz w:val="14"/>
                        <w:szCs w:val="14"/>
                      </w:rPr>
                    </w:pPr>
                    <w:r w:rsidRPr="007C230B">
                      <w:rPr>
                        <w:rFonts w:cs="Arial"/>
                        <w:b/>
                        <w:color w:val="000000" w:themeColor="text1"/>
                        <w:sz w:val="14"/>
                        <w:szCs w:val="14"/>
                      </w:rPr>
                      <w:t>Titel:</w:t>
                    </w:r>
                    <w:r w:rsidRPr="007C230B">
                      <w:rPr>
                        <w:rFonts w:cs="Arial"/>
                        <w:b/>
                        <w:color w:val="000000" w:themeColor="text1"/>
                        <w:sz w:val="14"/>
                        <w:szCs w:val="14"/>
                      </w:rPr>
                      <w:tab/>
                      <w:t xml:space="preserve"> </w:t>
                    </w:r>
                    <w:r w:rsidR="00805497">
                      <w:rPr>
                        <w:rFonts w:cs="Arial"/>
                        <w:b/>
                        <w:color w:val="000000" w:themeColor="text1"/>
                        <w:sz w:val="14"/>
                        <w:szCs w:val="14"/>
                      </w:rPr>
                      <w:t>Beurteilungsanlass «Wissen und Glauben»</w:t>
                    </w:r>
                  </w:p>
                  <w:p w14:paraId="4CFE3FD0" w14:textId="77777777" w:rsidR="00F243A5" w:rsidRPr="00080038" w:rsidRDefault="00F243A5" w:rsidP="00F243A5">
                    <w:pPr>
                      <w:tabs>
                        <w:tab w:val="left" w:pos="994"/>
                      </w:tabs>
                      <w:rPr>
                        <w:rFonts w:cs="Arial"/>
                        <w:color w:val="000000" w:themeColor="text1"/>
                        <w:sz w:val="14"/>
                        <w:szCs w:val="14"/>
                      </w:rPr>
                    </w:pPr>
                    <w:r w:rsidRPr="00080038">
                      <w:rPr>
                        <w:rFonts w:cs="Arial"/>
                        <w:color w:val="000000" w:themeColor="text1"/>
                        <w:sz w:val="14"/>
                        <w:szCs w:val="14"/>
                      </w:rPr>
                      <w:t>Autorin/Autor:</w:t>
                    </w:r>
                    <w:r>
                      <w:rPr>
                        <w:rFonts w:cs="Arial"/>
                        <w:color w:val="000000" w:themeColor="text1"/>
                        <w:sz w:val="14"/>
                        <w:szCs w:val="14"/>
                      </w:rPr>
                      <w:tab/>
                      <w:t xml:space="preserve"> </w:t>
                    </w:r>
                    <w:proofErr w:type="spellStart"/>
                    <w:r>
                      <w:rPr>
                        <w:rFonts w:cs="Arial"/>
                        <w:color w:val="000000" w:themeColor="text1"/>
                        <w:sz w:val="14"/>
                        <w:szCs w:val="14"/>
                      </w:rPr>
                      <w:t>Janir</w:t>
                    </w:r>
                    <w:proofErr w:type="spellEnd"/>
                    <w:r>
                      <w:rPr>
                        <w:rFonts w:cs="Arial"/>
                        <w:color w:val="000000" w:themeColor="text1"/>
                        <w:sz w:val="14"/>
                        <w:szCs w:val="14"/>
                      </w:rPr>
                      <w:t xml:space="preserve"> </w:t>
                    </w:r>
                    <w:proofErr w:type="spellStart"/>
                    <w:r>
                      <w:rPr>
                        <w:rFonts w:cs="Arial"/>
                        <w:color w:val="000000" w:themeColor="text1"/>
                        <w:sz w:val="14"/>
                        <w:szCs w:val="14"/>
                      </w:rPr>
                      <w:t>Atlan</w:t>
                    </w:r>
                    <w:proofErr w:type="spellEnd"/>
                    <w:r>
                      <w:rPr>
                        <w:rFonts w:cs="Arial"/>
                        <w:color w:val="000000" w:themeColor="text1"/>
                        <w:sz w:val="14"/>
                        <w:szCs w:val="14"/>
                      </w:rPr>
                      <w:t xml:space="preserve">, </w:t>
                    </w:r>
                    <w:r w:rsidRPr="00F243A5">
                      <w:rPr>
                        <w:rFonts w:cs="Arial"/>
                        <w:color w:val="000000" w:themeColor="text1"/>
                        <w:sz w:val="14"/>
                        <w:szCs w:val="14"/>
                      </w:rPr>
                      <w:t>Dr. Yves Mühlematter</w:t>
                    </w:r>
                    <w:r>
                      <w:rPr>
                        <w:rFonts w:cs="Arial"/>
                        <w:color w:val="000000" w:themeColor="text1"/>
                        <w:sz w:val="14"/>
                        <w:szCs w:val="14"/>
                      </w:rPr>
                      <w:t xml:space="preserve">; </w:t>
                    </w:r>
                    <w:r w:rsidRPr="00F243A5">
                      <w:rPr>
                        <w:rFonts w:cs="Arial"/>
                        <w:color w:val="000000" w:themeColor="text1"/>
                        <w:sz w:val="14"/>
                        <w:szCs w:val="14"/>
                      </w:rPr>
                      <w:t>Andreas Studer</w:t>
                    </w:r>
                  </w:p>
                  <w:p w14:paraId="50E2F104" w14:textId="77777777" w:rsidR="00F243A5" w:rsidRPr="00080038" w:rsidRDefault="00F243A5" w:rsidP="00F243A5">
                    <w:pPr>
                      <w:tabs>
                        <w:tab w:val="left" w:pos="994"/>
                      </w:tabs>
                      <w:rPr>
                        <w:rFonts w:cs="Arial"/>
                        <w:color w:val="000000" w:themeColor="text1"/>
                        <w:sz w:val="14"/>
                        <w:szCs w:val="14"/>
                      </w:rPr>
                    </w:pPr>
                    <w:r w:rsidRPr="00080038">
                      <w:rPr>
                        <w:rFonts w:cs="Arial"/>
                        <w:color w:val="000000" w:themeColor="text1"/>
                        <w:sz w:val="14"/>
                        <w:szCs w:val="14"/>
                      </w:rPr>
                      <w:t>Version:</w:t>
                    </w:r>
                    <w:r>
                      <w:rPr>
                        <w:rFonts w:cs="Arial"/>
                        <w:color w:val="000000" w:themeColor="text1"/>
                        <w:sz w:val="14"/>
                        <w:szCs w:val="14"/>
                      </w:rPr>
                      <w:tab/>
                      <w:t xml:space="preserve"> 01</w:t>
                    </w:r>
                  </w:p>
                  <w:p w14:paraId="4E2378D6" w14:textId="76435A15" w:rsidR="00080038" w:rsidRPr="00080038" w:rsidRDefault="00F243A5" w:rsidP="007C230B">
                    <w:pPr>
                      <w:tabs>
                        <w:tab w:val="left" w:pos="994"/>
                      </w:tabs>
                      <w:rPr>
                        <w:rFonts w:cs="Arial"/>
                        <w:color w:val="000000" w:themeColor="text1"/>
                        <w:sz w:val="14"/>
                        <w:szCs w:val="14"/>
                      </w:rPr>
                    </w:pPr>
                    <w:r w:rsidRPr="00080038">
                      <w:rPr>
                        <w:rFonts w:cs="Arial"/>
                        <w:color w:val="000000" w:themeColor="text1"/>
                        <w:sz w:val="14"/>
                        <w:szCs w:val="14"/>
                      </w:rPr>
                      <w:t>Datum:</w:t>
                    </w:r>
                    <w:r>
                      <w:rPr>
                        <w:rFonts w:cs="Arial"/>
                        <w:color w:val="000000" w:themeColor="text1"/>
                        <w:sz w:val="14"/>
                        <w:szCs w:val="14"/>
                      </w:rPr>
                      <w:tab/>
                      <w:t xml:space="preserve"> 1.12.2023</w:t>
                    </w:r>
                  </w:p>
                </w:txbxContent>
              </v:textbox>
            </v:shape>
          </w:pict>
        </mc:Fallback>
      </mc:AlternateContent>
    </w:r>
    <w:r>
      <w:rPr>
        <w:rFonts w:cs="Arial"/>
        <w:noProof/>
        <w:color w:val="000000" w:themeColor="text1"/>
        <w:sz w:val="14"/>
        <w:szCs w:val="14"/>
        <w:lang w:eastAsia="de-DE"/>
      </w:rPr>
      <mc:AlternateContent>
        <mc:Choice Requires="wps">
          <w:drawing>
            <wp:anchor distT="0" distB="0" distL="114300" distR="114300" simplePos="0" relativeHeight="251664384" behindDoc="0" locked="0" layoutInCell="1" allowOverlap="1" wp14:anchorId="35EA7C6E" wp14:editId="3B19025A">
              <wp:simplePos x="0" y="0"/>
              <wp:positionH relativeFrom="column">
                <wp:posOffset>67945</wp:posOffset>
              </wp:positionH>
              <wp:positionV relativeFrom="paragraph">
                <wp:posOffset>-635</wp:posOffset>
              </wp:positionV>
              <wp:extent cx="1826895" cy="574040"/>
              <wp:effectExtent l="0" t="0" r="0" b="10160"/>
              <wp:wrapNone/>
              <wp:docPr id="6" name="Textfeld 6"/>
              <wp:cNvGraphicFramePr/>
              <a:graphic xmlns:a="http://schemas.openxmlformats.org/drawingml/2006/main">
                <a:graphicData uri="http://schemas.microsoft.com/office/word/2010/wordprocessingShape">
                  <wps:wsp>
                    <wps:cNvSpPr txBox="1"/>
                    <wps:spPr>
                      <a:xfrm>
                        <a:off x="0" y="0"/>
                        <a:ext cx="182689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5662CB5" w14:textId="77777777" w:rsidR="00080038" w:rsidRPr="00F40AB2" w:rsidRDefault="00080038" w:rsidP="00080038">
                          <w:pPr>
                            <w:pStyle w:val="Fuzeile"/>
                            <w:ind w:left="4536" w:hanging="4536"/>
                            <w:rPr>
                              <w:rFonts w:cs="Arial"/>
                              <w:b/>
                              <w:color w:val="AEAAAA" w:themeColor="background2" w:themeShade="BF"/>
                              <w:sz w:val="14"/>
                              <w:szCs w:val="14"/>
                            </w:rPr>
                          </w:pPr>
                          <w:r w:rsidRPr="00F40AB2">
                            <w:rPr>
                              <w:rFonts w:cs="Arial"/>
                              <w:b/>
                              <w:color w:val="AEAAAA" w:themeColor="background2" w:themeShade="BF"/>
                              <w:sz w:val="14"/>
                              <w:szCs w:val="14"/>
                            </w:rPr>
                            <w:t>Umsetzungshilfen zum Lehrplan 21</w:t>
                          </w:r>
                        </w:p>
                        <w:p w14:paraId="2BCDFD50" w14:textId="77777777" w:rsidR="00080038" w:rsidRPr="00F40AB2" w:rsidRDefault="00080038" w:rsidP="00080038">
                          <w:pPr>
                            <w:pStyle w:val="Fuzeile"/>
                            <w:ind w:left="4536" w:hanging="4536"/>
                            <w:rPr>
                              <w:rFonts w:cs="Arial"/>
                              <w:color w:val="AEAAAA" w:themeColor="background2" w:themeShade="BF"/>
                              <w:sz w:val="14"/>
                              <w:szCs w:val="14"/>
                            </w:rPr>
                          </w:pPr>
                          <w:r w:rsidRPr="00F40AB2">
                            <w:rPr>
                              <w:rFonts w:cs="Arial"/>
                              <w:color w:val="AEAAAA" w:themeColor="background2" w:themeShade="BF"/>
                              <w:sz w:val="14"/>
                              <w:szCs w:val="14"/>
                            </w:rPr>
                            <w:t>der Lehrplan- und Lehrmittelkommission</w:t>
                          </w:r>
                        </w:p>
                        <w:p w14:paraId="187BAC93" w14:textId="77777777" w:rsidR="00080038" w:rsidRDefault="00080038" w:rsidP="00080038">
                          <w:pPr>
                            <w:pStyle w:val="Fuzeile"/>
                            <w:ind w:left="4536" w:hanging="4536"/>
                            <w:rPr>
                              <w:rFonts w:cs="Arial"/>
                              <w:color w:val="AEAAAA" w:themeColor="background2" w:themeShade="BF"/>
                              <w:sz w:val="14"/>
                              <w:szCs w:val="14"/>
                            </w:rPr>
                          </w:pPr>
                          <w:r>
                            <w:rPr>
                              <w:rFonts w:cs="Arial"/>
                              <w:color w:val="AEAAAA" w:themeColor="background2" w:themeShade="BF"/>
                              <w:sz w:val="14"/>
                              <w:szCs w:val="14"/>
                            </w:rPr>
                            <w:t>des Kantons Bern</w:t>
                          </w:r>
                        </w:p>
                        <w:p w14:paraId="5B9833F4" w14:textId="65AE3CB8" w:rsidR="00080038" w:rsidRPr="00080038" w:rsidRDefault="00714EC1" w:rsidP="00080038">
                          <w:pPr>
                            <w:pStyle w:val="Fuzeile"/>
                            <w:ind w:left="4536" w:hanging="4536"/>
                            <w:rPr>
                              <w:rFonts w:cs="Arial"/>
                              <w:b/>
                              <w:color w:val="000000" w:themeColor="text1"/>
                              <w:sz w:val="14"/>
                              <w:szCs w:val="14"/>
                            </w:rPr>
                          </w:pPr>
                          <w:r>
                            <w:rPr>
                              <w:rFonts w:cs="Arial"/>
                              <w:b/>
                              <w:color w:val="000000" w:themeColor="text1"/>
                              <w:sz w:val="14"/>
                              <w:szCs w:val="14"/>
                            </w:rPr>
                            <w:t xml:space="preserve">Beispiele Beurteilung NMG </w:t>
                          </w:r>
                          <w:r w:rsidR="00F243A5">
                            <w:rPr>
                              <w:rFonts w:cs="Arial"/>
                              <w:b/>
                              <w:color w:val="000000" w:themeColor="text1"/>
                              <w:sz w:val="14"/>
                              <w:szCs w:val="14"/>
                            </w:rPr>
                            <w:t>ERG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A7C6E" id="Textfeld 6" o:spid="_x0000_s1027" type="#_x0000_t202" style="position:absolute;left:0;text-align:left;margin-left:5.35pt;margin-top:-.05pt;width:143.85pt;height:4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" filled="f" stroked="f">
              <v:textbox>
                <w:txbxContent>
                  <w:p w14:paraId="35662CB5" w14:textId="77777777" w:rsidR="00080038" w:rsidRPr="00F40AB2" w:rsidRDefault="00080038" w:rsidP="00080038">
                    <w:pPr>
                      <w:pStyle w:val="Fuzeile"/>
                      <w:ind w:left="4536" w:hanging="4536"/>
                      <w:rPr>
                        <w:rFonts w:cs="Arial"/>
                        <w:b/>
                        <w:color w:val="AEAAAA" w:themeColor="background2" w:themeShade="BF"/>
                        <w:sz w:val="14"/>
                        <w:szCs w:val="14"/>
                      </w:rPr>
                    </w:pPr>
                    <w:r w:rsidRPr="00F40AB2">
                      <w:rPr>
                        <w:rFonts w:cs="Arial"/>
                        <w:b/>
                        <w:color w:val="AEAAAA" w:themeColor="background2" w:themeShade="BF"/>
                        <w:sz w:val="14"/>
                        <w:szCs w:val="14"/>
                      </w:rPr>
                      <w:t>Umsetzungshilfen zum Lehrplan 21</w:t>
                    </w:r>
                  </w:p>
                  <w:p w14:paraId="2BCDFD50" w14:textId="77777777" w:rsidR="00080038" w:rsidRPr="00F40AB2" w:rsidRDefault="00080038" w:rsidP="00080038">
                    <w:pPr>
                      <w:pStyle w:val="Fuzeile"/>
                      <w:ind w:left="4536" w:hanging="4536"/>
                      <w:rPr>
                        <w:rFonts w:cs="Arial"/>
                        <w:color w:val="AEAAAA" w:themeColor="background2" w:themeShade="BF"/>
                        <w:sz w:val="14"/>
                        <w:szCs w:val="14"/>
                      </w:rPr>
                    </w:pPr>
                    <w:r w:rsidRPr="00F40AB2">
                      <w:rPr>
                        <w:rFonts w:cs="Arial"/>
                        <w:color w:val="AEAAAA" w:themeColor="background2" w:themeShade="BF"/>
                        <w:sz w:val="14"/>
                        <w:szCs w:val="14"/>
                      </w:rPr>
                      <w:t>der Lehrplan- und Lehrmittelkommission</w:t>
                    </w:r>
                  </w:p>
                  <w:p w14:paraId="187BAC93" w14:textId="77777777" w:rsidR="00080038" w:rsidRDefault="00080038" w:rsidP="00080038">
                    <w:pPr>
                      <w:pStyle w:val="Fuzeile"/>
                      <w:ind w:left="4536" w:hanging="4536"/>
                      <w:rPr>
                        <w:rFonts w:cs="Arial"/>
                        <w:color w:val="AEAAAA" w:themeColor="background2" w:themeShade="BF"/>
                        <w:sz w:val="14"/>
                        <w:szCs w:val="14"/>
                      </w:rPr>
                    </w:pPr>
                    <w:r>
                      <w:rPr>
                        <w:rFonts w:cs="Arial"/>
                        <w:color w:val="AEAAAA" w:themeColor="background2" w:themeShade="BF"/>
                        <w:sz w:val="14"/>
                        <w:szCs w:val="14"/>
                      </w:rPr>
                      <w:t>des Kantons Bern</w:t>
                    </w:r>
                  </w:p>
                  <w:p w14:paraId="5B9833F4" w14:textId="65AE3CB8" w:rsidR="00080038" w:rsidRPr="00080038" w:rsidRDefault="00714EC1" w:rsidP="00080038">
                    <w:pPr>
                      <w:pStyle w:val="Fuzeile"/>
                      <w:ind w:left="4536" w:hanging="4536"/>
                      <w:rPr>
                        <w:rFonts w:cs="Arial"/>
                        <w:b/>
                        <w:color w:val="000000" w:themeColor="text1"/>
                        <w:sz w:val="14"/>
                        <w:szCs w:val="14"/>
                      </w:rPr>
                    </w:pPr>
                    <w:r>
                      <w:rPr>
                        <w:rFonts w:cs="Arial"/>
                        <w:b/>
                        <w:color w:val="000000" w:themeColor="text1"/>
                        <w:sz w:val="14"/>
                        <w:szCs w:val="14"/>
                      </w:rPr>
                      <w:t xml:space="preserve">Beispiele Beurteilung NMG </w:t>
                    </w:r>
                    <w:r w:rsidR="00F243A5">
                      <w:rPr>
                        <w:rFonts w:cs="Arial"/>
                        <w:b/>
                        <w:color w:val="000000" w:themeColor="text1"/>
                        <w:sz w:val="14"/>
                        <w:szCs w:val="14"/>
                      </w:rPr>
                      <w:t>ERG</w:t>
                    </w:r>
                  </w:p>
                </w:txbxContent>
              </v:textbox>
            </v:shape>
          </w:pict>
        </mc:Fallback>
      </mc:AlternateContent>
    </w:r>
    <w:r>
      <w:rPr>
        <w:rFonts w:cs="Arial"/>
        <w:noProof/>
        <w:color w:val="000000" w:themeColor="text1"/>
        <w:sz w:val="14"/>
        <w:szCs w:val="14"/>
        <w:lang w:eastAsia="de-DE"/>
      </w:rPr>
      <mc:AlternateContent>
        <mc:Choice Requires="wps">
          <w:drawing>
            <wp:anchor distT="0" distB="0" distL="114300" distR="114300" simplePos="0" relativeHeight="251659264" behindDoc="0" locked="0" layoutInCell="1" allowOverlap="1" wp14:anchorId="3675F0DE" wp14:editId="57F708CA">
              <wp:simplePos x="0" y="0"/>
              <wp:positionH relativeFrom="column">
                <wp:posOffset>-505460</wp:posOffset>
              </wp:positionH>
              <wp:positionV relativeFrom="paragraph">
                <wp:posOffset>-18415</wp:posOffset>
              </wp:positionV>
              <wp:extent cx="539750" cy="539750"/>
              <wp:effectExtent l="0" t="0" r="0" b="0"/>
              <wp:wrapNone/>
              <wp:docPr id="1" name="Textfeld 1"/>
              <wp:cNvGraphicFramePr/>
              <a:graphic xmlns:a="http://schemas.openxmlformats.org/drawingml/2006/main">
                <a:graphicData uri="http://schemas.microsoft.com/office/word/2010/wordprocessingShape">
                  <wps:wsp>
                    <wps:cNvSpPr txBox="1"/>
                    <wps:spPr>
                      <a:xfrm>
                        <a:off x="0" y="0"/>
                        <a:ext cx="539750" cy="539750"/>
                      </a:xfrm>
                      <a:prstGeom prst="rect">
                        <a:avLst/>
                      </a:prstGeom>
                      <a:solidFill>
                        <a:schemeClr val="bg2">
                          <a:lumMod val="9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4E4CCBBB" w14:textId="77777777" w:rsidR="00F40AB2" w:rsidRPr="00F40AB2" w:rsidRDefault="00F40AB2" w:rsidP="00F40AB2">
                          <w:pPr>
                            <w:ind w:left="708" w:hanging="708"/>
                            <w:jc w:val="center"/>
                            <w:rPr>
                              <w:rFonts w:cs="Arial"/>
                              <w:b/>
                              <w:color w:val="FFFFFF" w:themeColor="background1"/>
                            </w:rPr>
                          </w:pPr>
                          <w:r w:rsidRPr="00F40AB2">
                            <w:rPr>
                              <w:rFonts w:cs="Arial"/>
                              <w:b/>
                              <w:color w:val="FFFFFF" w:themeColor="background1"/>
                            </w:rPr>
                            <w:t>NMG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5F0DE" id="Textfeld 1" o:spid="_x0000_s1028" type="#_x0000_t202" style="position:absolute;left:0;text-align:left;margin-left:-39.8pt;margin-top:-1.45pt;width:42.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" fillcolor="#cfcdcd [2894]" stroked="f">
              <v:textbox>
                <w:txbxContent>
                  <w:p w14:paraId="4E4CCBBB" w14:textId="77777777" w:rsidR="00F40AB2" w:rsidRPr="00F40AB2" w:rsidRDefault="00F40AB2" w:rsidP="00F40AB2">
                    <w:pPr>
                      <w:ind w:left="708" w:hanging="708"/>
                      <w:jc w:val="center"/>
                      <w:rPr>
                        <w:rFonts w:cs="Arial"/>
                        <w:b/>
                        <w:color w:val="FFFFFF" w:themeColor="background1"/>
                      </w:rPr>
                    </w:pPr>
                    <w:r w:rsidRPr="00F40AB2">
                      <w:rPr>
                        <w:rFonts w:cs="Arial"/>
                        <w:b/>
                        <w:color w:val="FFFFFF" w:themeColor="background1"/>
                      </w:rPr>
                      <w:t>NMG</w:t>
                    </w:r>
                  </w:p>
                </w:txbxContent>
              </v:textbox>
            </v:shape>
          </w:pict>
        </mc:Fallback>
      </mc:AlternateContent>
    </w:r>
  </w:p>
  <w:p w14:paraId="1ABC24D7" w14:textId="5369BD6D" w:rsidR="00F40AB2" w:rsidRDefault="00F40AB2" w:rsidP="00F40AB2">
    <w:pPr>
      <w:pStyle w:val="Fuzeile"/>
      <w:ind w:left="4536" w:hanging="4536"/>
      <w:rPr>
        <w:rFonts w:cs="Arial"/>
        <w:color w:val="000000" w:themeColor="text1"/>
        <w:sz w:val="14"/>
        <w:szCs w:val="14"/>
      </w:rPr>
    </w:pPr>
  </w:p>
  <w:p w14:paraId="3EDE11DD" w14:textId="77777777" w:rsidR="00F40AB2" w:rsidRPr="00F40AB2" w:rsidRDefault="00F40AB2" w:rsidP="00F40AB2">
    <w:pPr>
      <w:pStyle w:val="Fuzeile"/>
      <w:ind w:left="4536" w:hanging="4536"/>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50CCA" w14:textId="77777777" w:rsidR="00AD02E5" w:rsidRDefault="00AD02E5" w:rsidP="00F40AB2">
      <w:r>
        <w:separator/>
      </w:r>
    </w:p>
  </w:footnote>
  <w:footnote w:type="continuationSeparator" w:id="0">
    <w:p w14:paraId="40047120" w14:textId="77777777" w:rsidR="00AD02E5" w:rsidRDefault="00AD02E5" w:rsidP="00F40A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7F5"/>
    <w:multiLevelType w:val="hybridMultilevel"/>
    <w:tmpl w:val="B15A5D5C"/>
    <w:lvl w:ilvl="0" w:tplc="76B8DF7A">
      <w:start w:val="1"/>
      <w:numFmt w:val="upperLetter"/>
      <w:lvlText w:val="%1"/>
      <w:lvlJc w:val="left"/>
      <w:pPr>
        <w:ind w:left="720" w:hanging="360"/>
      </w:pPr>
      <w:rPr>
        <w:rFonts w:ascii="Arial" w:hAnsi="Arial" w:hint="default"/>
        <w:b/>
        <w:i w:val="0"/>
        <w:color w:val="767171" w:themeColor="background2" w:themeShade="8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6076D5"/>
    <w:multiLevelType w:val="hybridMultilevel"/>
    <w:tmpl w:val="5378BE3E"/>
    <w:lvl w:ilvl="0" w:tplc="FDFA2AD0">
      <w:start w:val="1"/>
      <w:numFmt w:val="upperLetter"/>
      <w:pStyle w:val="ABCAuflistung"/>
      <w:lvlText w:val="%1"/>
      <w:lvlJc w:val="left"/>
      <w:pPr>
        <w:ind w:left="397" w:hanging="397"/>
      </w:pPr>
      <w:rPr>
        <w:rFonts w:ascii="Arial" w:hAnsi="Arial" w:hint="default"/>
        <w:b/>
        <w:i w:val="0"/>
        <w:color w:val="767171" w:themeColor="background2" w:themeShade="8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3807D8E"/>
    <w:multiLevelType w:val="hybridMultilevel"/>
    <w:tmpl w:val="86D06E82"/>
    <w:lvl w:ilvl="0" w:tplc="F454041A">
      <w:start w:val="1"/>
      <w:numFmt w:val="bullet"/>
      <w:pStyle w:val="Aufzhlung"/>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3DF6B35"/>
    <w:multiLevelType w:val="hybridMultilevel"/>
    <w:tmpl w:val="23D4E34E"/>
    <w:lvl w:ilvl="0" w:tplc="08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C7E0D37"/>
    <w:multiLevelType w:val="hybridMultilevel"/>
    <w:tmpl w:val="744AC2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1874341">
    <w:abstractNumId w:val="4"/>
  </w:num>
  <w:num w:numId="2" w16cid:durableId="136990932">
    <w:abstractNumId w:val="2"/>
  </w:num>
  <w:num w:numId="3" w16cid:durableId="253441724">
    <w:abstractNumId w:val="0"/>
  </w:num>
  <w:num w:numId="4" w16cid:durableId="768813212">
    <w:abstractNumId w:val="1"/>
  </w:num>
  <w:num w:numId="5" w16cid:durableId="18151037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AB2"/>
    <w:rsid w:val="00080038"/>
    <w:rsid w:val="00107115"/>
    <w:rsid w:val="00146A36"/>
    <w:rsid w:val="001840B0"/>
    <w:rsid w:val="00211D30"/>
    <w:rsid w:val="0021554F"/>
    <w:rsid w:val="002652CE"/>
    <w:rsid w:val="002B321D"/>
    <w:rsid w:val="002E55B4"/>
    <w:rsid w:val="00300B8E"/>
    <w:rsid w:val="00321C13"/>
    <w:rsid w:val="0036116E"/>
    <w:rsid w:val="00382DEB"/>
    <w:rsid w:val="00392314"/>
    <w:rsid w:val="003D6EFF"/>
    <w:rsid w:val="00416FF7"/>
    <w:rsid w:val="0042159B"/>
    <w:rsid w:val="00474FA7"/>
    <w:rsid w:val="00496365"/>
    <w:rsid w:val="004D295C"/>
    <w:rsid w:val="006120CB"/>
    <w:rsid w:val="006D6555"/>
    <w:rsid w:val="00714EC1"/>
    <w:rsid w:val="00736DB4"/>
    <w:rsid w:val="00745857"/>
    <w:rsid w:val="00773405"/>
    <w:rsid w:val="007C230B"/>
    <w:rsid w:val="00805497"/>
    <w:rsid w:val="008718A9"/>
    <w:rsid w:val="008B60C1"/>
    <w:rsid w:val="008E7892"/>
    <w:rsid w:val="00930BD2"/>
    <w:rsid w:val="00934B0A"/>
    <w:rsid w:val="009525D5"/>
    <w:rsid w:val="009B7154"/>
    <w:rsid w:val="00A313FD"/>
    <w:rsid w:val="00A329A3"/>
    <w:rsid w:val="00A74DD9"/>
    <w:rsid w:val="00AD02E5"/>
    <w:rsid w:val="00AD4216"/>
    <w:rsid w:val="00AE0120"/>
    <w:rsid w:val="00AF7099"/>
    <w:rsid w:val="00B536E0"/>
    <w:rsid w:val="00B86B39"/>
    <w:rsid w:val="00B91AEF"/>
    <w:rsid w:val="00BC1FCC"/>
    <w:rsid w:val="00BD711A"/>
    <w:rsid w:val="00BE0C88"/>
    <w:rsid w:val="00BE7C99"/>
    <w:rsid w:val="00C03867"/>
    <w:rsid w:val="00D27F6E"/>
    <w:rsid w:val="00D636AA"/>
    <w:rsid w:val="00E17940"/>
    <w:rsid w:val="00E56E1E"/>
    <w:rsid w:val="00E64330"/>
    <w:rsid w:val="00F243A5"/>
    <w:rsid w:val="00F2789C"/>
    <w:rsid w:val="00F40AB2"/>
    <w:rsid w:val="00FC7B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402A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D27F6E"/>
    <w:rPr>
      <w:rFonts w:ascii="Arial" w:hAnsi="Arial"/>
      <w:sz w:val="22"/>
    </w:rPr>
  </w:style>
  <w:style w:type="paragraph" w:styleId="berschrift1">
    <w:name w:val="heading 1"/>
    <w:basedOn w:val="Standard"/>
    <w:next w:val="Standard"/>
    <w:link w:val="berschrift1Zchn"/>
    <w:uiPriority w:val="9"/>
    <w:qFormat/>
    <w:rsid w:val="00D27F6E"/>
    <w:pPr>
      <w:keepNext/>
      <w:keepLines/>
      <w:spacing w:before="480" w:after="80"/>
      <w:outlineLvl w:val="0"/>
    </w:pPr>
    <w:rPr>
      <w:rFonts w:eastAsiaTheme="majorEastAsia" w:cstheme="majorBidi"/>
      <w:b/>
      <w:color w:val="000000" w:themeColor="text1"/>
      <w:szCs w:val="32"/>
    </w:rPr>
  </w:style>
  <w:style w:type="paragraph" w:styleId="berschrift2">
    <w:name w:val="heading 2"/>
    <w:basedOn w:val="Standard"/>
    <w:next w:val="Standard"/>
    <w:link w:val="berschrift2Zchn"/>
    <w:uiPriority w:val="9"/>
    <w:unhideWhenUsed/>
    <w:qFormat/>
    <w:rsid w:val="00F278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F2789C"/>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40AB2"/>
    <w:pPr>
      <w:tabs>
        <w:tab w:val="center" w:pos="4536"/>
        <w:tab w:val="right" w:pos="9072"/>
      </w:tabs>
    </w:pPr>
  </w:style>
  <w:style w:type="character" w:customStyle="1" w:styleId="KopfzeileZchn">
    <w:name w:val="Kopfzeile Zchn"/>
    <w:basedOn w:val="Absatz-Standardschriftart"/>
    <w:link w:val="Kopfzeile"/>
    <w:uiPriority w:val="99"/>
    <w:rsid w:val="00F40AB2"/>
  </w:style>
  <w:style w:type="paragraph" w:styleId="Fuzeile">
    <w:name w:val="footer"/>
    <w:basedOn w:val="Standard"/>
    <w:link w:val="FuzeileZchn"/>
    <w:uiPriority w:val="99"/>
    <w:unhideWhenUsed/>
    <w:rsid w:val="00F40AB2"/>
    <w:pPr>
      <w:tabs>
        <w:tab w:val="center" w:pos="4536"/>
        <w:tab w:val="right" w:pos="9072"/>
      </w:tabs>
    </w:pPr>
  </w:style>
  <w:style w:type="character" w:customStyle="1" w:styleId="FuzeileZchn">
    <w:name w:val="Fußzeile Zchn"/>
    <w:basedOn w:val="Absatz-Standardschriftart"/>
    <w:link w:val="Fuzeile"/>
    <w:uiPriority w:val="99"/>
    <w:rsid w:val="00F40AB2"/>
  </w:style>
  <w:style w:type="paragraph" w:styleId="Titel">
    <w:name w:val="Title"/>
    <w:basedOn w:val="Standard"/>
    <w:next w:val="Standard"/>
    <w:link w:val="TitelZchn"/>
    <w:uiPriority w:val="10"/>
    <w:qFormat/>
    <w:rsid w:val="00F2789C"/>
    <w:pPr>
      <w:contextualSpacing/>
    </w:pPr>
    <w:rPr>
      <w:rFonts w:eastAsiaTheme="majorEastAsia" w:cstheme="majorBidi"/>
      <w:b/>
      <w:spacing w:val="-10"/>
      <w:kern w:val="28"/>
      <w:sz w:val="40"/>
      <w:szCs w:val="56"/>
    </w:rPr>
  </w:style>
  <w:style w:type="character" w:customStyle="1" w:styleId="TitelZchn">
    <w:name w:val="Titel Zchn"/>
    <w:basedOn w:val="Absatz-Standardschriftart"/>
    <w:link w:val="Titel"/>
    <w:uiPriority w:val="10"/>
    <w:rsid w:val="00F2789C"/>
    <w:rPr>
      <w:rFonts w:ascii="Arial" w:eastAsiaTheme="majorEastAsia" w:hAnsi="Arial" w:cstheme="majorBidi"/>
      <w:b/>
      <w:spacing w:val="-10"/>
      <w:kern w:val="28"/>
      <w:sz w:val="40"/>
      <w:szCs w:val="56"/>
    </w:rPr>
  </w:style>
  <w:style w:type="paragraph" w:styleId="Untertitel">
    <w:name w:val="Subtitle"/>
    <w:basedOn w:val="Standard"/>
    <w:next w:val="Standard"/>
    <w:link w:val="UntertitelZchn"/>
    <w:uiPriority w:val="11"/>
    <w:qFormat/>
    <w:rsid w:val="00AD4216"/>
    <w:pPr>
      <w:numPr>
        <w:ilvl w:val="1"/>
      </w:numPr>
      <w:spacing w:before="80" w:after="120"/>
    </w:pPr>
    <w:rPr>
      <w:rFonts w:eastAsiaTheme="minorEastAsia"/>
      <w:color w:val="767171" w:themeColor="background2" w:themeShade="80"/>
      <w:spacing w:val="15"/>
      <w:sz w:val="26"/>
      <w:szCs w:val="22"/>
    </w:rPr>
  </w:style>
  <w:style w:type="character" w:customStyle="1" w:styleId="UntertitelZchn">
    <w:name w:val="Untertitel Zchn"/>
    <w:basedOn w:val="Absatz-Standardschriftart"/>
    <w:link w:val="Untertitel"/>
    <w:uiPriority w:val="11"/>
    <w:rsid w:val="00AD4216"/>
    <w:rPr>
      <w:rFonts w:ascii="Arial" w:eastAsiaTheme="minorEastAsia" w:hAnsi="Arial"/>
      <w:color w:val="767171" w:themeColor="background2" w:themeShade="80"/>
      <w:spacing w:val="15"/>
      <w:sz w:val="26"/>
      <w:szCs w:val="22"/>
    </w:rPr>
  </w:style>
  <w:style w:type="character" w:customStyle="1" w:styleId="berschrift2Zchn">
    <w:name w:val="Überschrift 2 Zchn"/>
    <w:basedOn w:val="Absatz-Standardschriftart"/>
    <w:link w:val="berschrift2"/>
    <w:uiPriority w:val="9"/>
    <w:rsid w:val="00F2789C"/>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F2789C"/>
    <w:rPr>
      <w:rFonts w:asciiTheme="majorHAnsi" w:eastAsiaTheme="majorEastAsia" w:hAnsiTheme="majorHAnsi" w:cstheme="majorBidi"/>
      <w:color w:val="1F3763" w:themeColor="accent1" w:themeShade="7F"/>
    </w:rPr>
  </w:style>
  <w:style w:type="character" w:customStyle="1" w:styleId="berschrift1Zchn">
    <w:name w:val="Überschrift 1 Zchn"/>
    <w:basedOn w:val="Absatz-Standardschriftart"/>
    <w:link w:val="berschrift1"/>
    <w:uiPriority w:val="9"/>
    <w:rsid w:val="00D27F6E"/>
    <w:rPr>
      <w:rFonts w:ascii="Arial" w:eastAsiaTheme="majorEastAsia" w:hAnsi="Arial" w:cstheme="majorBidi"/>
      <w:b/>
      <w:color w:val="000000" w:themeColor="text1"/>
      <w:sz w:val="22"/>
      <w:szCs w:val="32"/>
    </w:rPr>
  </w:style>
  <w:style w:type="character" w:styleId="Hervorhebung">
    <w:name w:val="Emphasis"/>
    <w:basedOn w:val="Absatz-Standardschriftart"/>
    <w:uiPriority w:val="20"/>
    <w:qFormat/>
    <w:rsid w:val="00F2789C"/>
    <w:rPr>
      <w:i/>
      <w:iCs/>
    </w:rPr>
  </w:style>
  <w:style w:type="paragraph" w:styleId="Listenabsatz">
    <w:name w:val="List Paragraph"/>
    <w:basedOn w:val="Standard"/>
    <w:uiPriority w:val="34"/>
    <w:qFormat/>
    <w:rsid w:val="00F2789C"/>
    <w:pPr>
      <w:ind w:left="720"/>
      <w:contextualSpacing/>
    </w:pPr>
  </w:style>
  <w:style w:type="paragraph" w:customStyle="1" w:styleId="Aufzhlung">
    <w:name w:val="Aufzählung"/>
    <w:basedOn w:val="Listenabsatz"/>
    <w:qFormat/>
    <w:rsid w:val="008B60C1"/>
    <w:pPr>
      <w:numPr>
        <w:numId w:val="2"/>
      </w:numPr>
      <w:spacing w:before="80" w:after="80"/>
      <w:ind w:left="397" w:hanging="397"/>
      <w:contextualSpacing w:val="0"/>
    </w:pPr>
    <w:rPr>
      <w:lang w:val="de-CH"/>
    </w:rPr>
  </w:style>
  <w:style w:type="paragraph" w:customStyle="1" w:styleId="Standardklein">
    <w:name w:val="Standard_klein"/>
    <w:qFormat/>
    <w:rsid w:val="00D27F6E"/>
    <w:rPr>
      <w:rFonts w:ascii="Arial" w:hAnsi="Arial"/>
      <w:color w:val="000000" w:themeColor="text1"/>
      <w:sz w:val="18"/>
      <w:lang w:val="de-CH"/>
    </w:rPr>
  </w:style>
  <w:style w:type="paragraph" w:customStyle="1" w:styleId="Quellenangaben">
    <w:name w:val="Quellenangaben"/>
    <w:basedOn w:val="Standardklein"/>
    <w:qFormat/>
    <w:rsid w:val="00496365"/>
    <w:rPr>
      <w:color w:val="AEAAAA" w:themeColor="background2" w:themeShade="BF"/>
    </w:rPr>
  </w:style>
  <w:style w:type="paragraph" w:customStyle="1" w:styleId="ABCAuflistung">
    <w:name w:val="ABC Auflistung"/>
    <w:basedOn w:val="Aufzhlung"/>
    <w:qFormat/>
    <w:rsid w:val="008B60C1"/>
    <w:pPr>
      <w:numPr>
        <w:numId w:val="4"/>
      </w:numPr>
    </w:pPr>
  </w:style>
  <w:style w:type="paragraph" w:customStyle="1" w:styleId="Einleitung">
    <w:name w:val="Einleitung"/>
    <w:basedOn w:val="Standard"/>
    <w:qFormat/>
    <w:rsid w:val="00E64330"/>
    <w:pPr>
      <w:pBdr>
        <w:top w:val="single" w:sz="4" w:space="6" w:color="D0CECE" w:themeColor="background2" w:themeShade="E6"/>
        <w:left w:val="single" w:sz="4" w:space="6" w:color="D0CECE" w:themeColor="background2" w:themeShade="E6"/>
        <w:bottom w:val="single" w:sz="4" w:space="6" w:color="D0CECE" w:themeColor="background2" w:themeShade="E6"/>
        <w:right w:val="single" w:sz="4" w:space="6" w:color="D0CECE" w:themeColor="background2" w:themeShade="E6"/>
      </w:pBdr>
      <w:spacing w:before="120" w:after="120"/>
      <w:ind w:left="170" w:right="170"/>
    </w:pPr>
    <w:rPr>
      <w:color w:val="767171" w:themeColor="background2" w:themeShade="80"/>
      <w:lang w:eastAsia="zh-CN" w:bidi="hi-IN"/>
    </w:rPr>
  </w:style>
  <w:style w:type="table" w:styleId="Tabellenraster">
    <w:name w:val="Table Grid"/>
    <w:basedOn w:val="NormaleTabelle"/>
    <w:uiPriority w:val="39"/>
    <w:rsid w:val="00714EC1"/>
    <w:rPr>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86B39"/>
    <w:rPr>
      <w:color w:val="0563C1" w:themeColor="hyperlink"/>
      <w:u w:val="single"/>
    </w:rPr>
  </w:style>
  <w:style w:type="character" w:styleId="NichtaufgelsteErwhnung">
    <w:name w:val="Unresolved Mention"/>
    <w:basedOn w:val="Absatz-Standardschriftart"/>
    <w:uiPriority w:val="99"/>
    <w:rsid w:val="00B86B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pbe.ch/5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3848</Characters>
  <Application>Microsoft Office Word</Application>
  <DocSecurity>0</DocSecurity>
  <Lines>142</Lines>
  <Paragraphs>55</Paragraphs>
  <ScaleCrop>false</ScaleCrop>
  <HeadingPairs>
    <vt:vector size="2" baseType="variant">
      <vt:variant>
        <vt:lpstr>Titel</vt:lpstr>
      </vt:variant>
      <vt:variant>
        <vt:i4>1</vt:i4>
      </vt:variant>
    </vt:vector>
  </HeadingPairs>
  <TitlesOfParts>
    <vt:vector size="1" baseType="lpstr">
      <vt:lpstr>Beobachtungsbogen für den Ernährungspraktischen Unterricht</vt:lpstr>
    </vt:vector>
  </TitlesOfParts>
  <Manager>Nicole Möschler</Manager>
  <Company/>
  <LinksUpToDate>false</LinksUpToDate>
  <CharactersWithSpaces>4368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Beurteilungsanlass «Wissen und Glauben»</dc:title>
  <dc:subject>Beispiele Beurteilung NMG ERG</dc:subject>
  <dc:creator>Fachkommission NMG, Lehrplan- und Lehrmittelkommission des Kantons Bern</dc:creator>
  <cp:keywords/>
  <dc:description/>
  <cp:lastModifiedBy>Möschler Nicole, BKD AKVB Mitarbeiter</cp:lastModifiedBy>
  <cp:revision>5</cp:revision>
  <dcterms:created xsi:type="dcterms:W3CDTF">2023-12-12T13:51:00Z</dcterms:created>
  <dcterms:modified xsi:type="dcterms:W3CDTF">2023-12-12T14:04:00Z</dcterms:modified>
  <cp:category/>
</cp:coreProperties>
</file>