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0671" w14:textId="1C86F89C" w:rsidR="00713B02" w:rsidRDefault="005D24B5" w:rsidP="005D24B5">
      <w:pPr>
        <w:pStyle w:val="AufgabenID"/>
        <w:rPr>
          <w:lang w:val="de-DE"/>
        </w:rPr>
      </w:pPr>
      <w:bookmarkStart w:id="0" w:name="_GoBack"/>
      <w:bookmarkEnd w:id="0"/>
      <w:r w:rsidRPr="005D24B5">
        <w:rPr>
          <w:lang w:val="de-DE"/>
        </w:rPr>
        <w:t>ANWEISEN</w:t>
      </w:r>
      <w:r w:rsidR="005651FA">
        <w:rPr>
          <w:lang w:val="de-DE"/>
        </w:rPr>
        <w:t xml:space="preserve">: </w:t>
      </w:r>
      <w:r w:rsidRPr="005D24B5">
        <w:rPr>
          <w:lang w:val="de-DE"/>
        </w:rPr>
        <w:t xml:space="preserve">FALTEN EINES PAPIERFLUGZEUGS NACH </w:t>
      </w:r>
      <w:r>
        <w:rPr>
          <w:lang w:val="de-DE"/>
        </w:rPr>
        <w:t>VORLAGE</w:t>
      </w:r>
    </w:p>
    <w:p w14:paraId="6C45A835" w14:textId="32D48FB6" w:rsidR="00713B02" w:rsidRDefault="00713B02" w:rsidP="00713B02">
      <w:pPr>
        <w:pStyle w:val="Kurzbeschrieb"/>
      </w:pPr>
      <w:r w:rsidRPr="00713B02">
        <w:t xml:space="preserve">Fokussiert wird die Kompetenz des mündlichen Anweisens aufgrund einer Video-Vorlage (siehe als mögliches Beispiel </w:t>
      </w:r>
      <w:r w:rsidR="00AA09E7">
        <w:t>unten</w:t>
      </w:r>
      <w:r w:rsidRPr="00713B02">
        <w:t>).</w:t>
      </w:r>
    </w:p>
    <w:p w14:paraId="4752E17B" w14:textId="503576EC" w:rsidR="00713B02" w:rsidRDefault="00713B02" w:rsidP="00713B02">
      <w:pPr>
        <w:pStyle w:val="Kurzbeschrieb"/>
        <w:tabs>
          <w:tab w:val="left" w:pos="5387"/>
        </w:tabs>
      </w:pPr>
      <w:r>
        <w:t xml:space="preserve">Zeitbedarf: </w:t>
      </w:r>
      <w:r>
        <w:br/>
        <w:t>Lernen, ein einfaches Papierflugzeug zu falten:</w:t>
      </w:r>
      <w:r>
        <w:tab/>
        <w:t>½ bis 1 Lektion (gesamte Klasse)</w:t>
      </w:r>
      <w:r>
        <w:br/>
        <w:t>Aufgabenstellung und Vorbereitung:</w:t>
      </w:r>
      <w:r>
        <w:tab/>
        <w:t>10 Min. (individuell)</w:t>
      </w:r>
      <w:r>
        <w:br/>
        <w:t xml:space="preserve">Sprechen: </w:t>
      </w:r>
      <w:r>
        <w:tab/>
        <w:t xml:space="preserve">3 Min. (individuell) </w:t>
      </w:r>
    </w:p>
    <w:p w14:paraId="276F4D99" w14:textId="77777777" w:rsidR="00713B02" w:rsidRDefault="00713B02" w:rsidP="00713B02">
      <w:pPr>
        <w:pStyle w:val="KurzbeschriebTitel"/>
      </w:pPr>
    </w:p>
    <w:p w14:paraId="7400ABE3" w14:textId="77777777" w:rsidR="00713B02" w:rsidRDefault="00713B02" w:rsidP="00713B02">
      <w:pPr>
        <w:pStyle w:val="KurzbeschriebTitel"/>
      </w:pPr>
      <w:r w:rsidRPr="006C7606">
        <w:t>Hinweise zur Durchführung, Erläuterungen zur Aufgabe</w:t>
      </w:r>
    </w:p>
    <w:p w14:paraId="48827DFA" w14:textId="398A4AA6" w:rsidR="00713B02" w:rsidRPr="00713B02" w:rsidRDefault="00713B02" w:rsidP="00AA09E7">
      <w:pPr>
        <w:spacing w:before="120" w:after="120" w:line="240" w:lineRule="atLeast"/>
        <w:rPr>
          <w:rFonts w:cs="Arial"/>
        </w:rPr>
      </w:pPr>
      <w:r w:rsidRPr="00713B02">
        <w:rPr>
          <w:rFonts w:cs="Arial"/>
        </w:rPr>
        <w:t xml:space="preserve">Die </w:t>
      </w:r>
      <w:r w:rsidRPr="00713B02">
        <w:rPr>
          <w:rFonts w:cs="Arial"/>
          <w:b/>
        </w:rPr>
        <w:t>Voraussetzung</w:t>
      </w:r>
      <w:r w:rsidRPr="00713B02">
        <w:rPr>
          <w:rFonts w:cs="Arial"/>
        </w:rPr>
        <w:t xml:space="preserve"> für die erfolgreiche Durchführung der vorliegenden Aufgabe ist, dass die Schülerinnen und Schüler beherrschen, ein einfaches Papierflugzeug zu fal</w:t>
      </w:r>
      <w:r w:rsidR="00FC25E7">
        <w:rPr>
          <w:rFonts w:cs="Arial"/>
        </w:rPr>
        <w:t>ten. Dies soll von ihnen im Kon</w:t>
      </w:r>
      <w:r w:rsidRPr="00713B02">
        <w:rPr>
          <w:rFonts w:cs="Arial"/>
        </w:rPr>
        <w:t>text der Aufgabe explizit anhand eines entsprechenden Videos gele</w:t>
      </w:r>
      <w:r w:rsidR="00FC25E7">
        <w:rPr>
          <w:rFonts w:cs="Arial"/>
        </w:rPr>
        <w:t>rnt werden. Deshalb ist die ent</w:t>
      </w:r>
      <w:r w:rsidRPr="00713B02">
        <w:rPr>
          <w:rFonts w:cs="Arial"/>
        </w:rPr>
        <w:t>sprechende Zeit oben bei „Zeitbedarf“ mitberücksichtigt.</w:t>
      </w:r>
    </w:p>
    <w:p w14:paraId="5127BE3B" w14:textId="52A13EEC" w:rsidR="00713B02" w:rsidRPr="00713B02" w:rsidRDefault="00713B02" w:rsidP="00AA09E7">
      <w:pPr>
        <w:spacing w:after="120" w:line="240" w:lineRule="atLeast"/>
        <w:rPr>
          <w:rFonts w:cs="Arial"/>
        </w:rPr>
      </w:pPr>
      <w:r w:rsidRPr="00713B02">
        <w:rPr>
          <w:rFonts w:cs="Arial"/>
        </w:rPr>
        <w:t>Die Schülerinnen / Schüler erhalten eine Vorbereitungszeit von</w:t>
      </w:r>
      <w:r w:rsidRPr="00713B02">
        <w:rPr>
          <w:rFonts w:cs="Arial"/>
          <w:b/>
        </w:rPr>
        <w:t xml:space="preserve"> 10 Min</w:t>
      </w:r>
      <w:r w:rsidR="00FC25E7">
        <w:rPr>
          <w:rFonts w:cs="Arial"/>
        </w:rPr>
        <w:t>. In dieser Zeit können sie er</w:t>
      </w:r>
      <w:r w:rsidRPr="00713B02">
        <w:rPr>
          <w:rFonts w:cs="Arial"/>
        </w:rPr>
        <w:t>neut das Video anschauen. Unmittelbar danach wird der vorbereitete und möglichst auch g</w:t>
      </w:r>
      <w:r w:rsidRPr="00713B02">
        <w:rPr>
          <w:rFonts w:cs="Arial"/>
        </w:rPr>
        <w:t>e</w:t>
      </w:r>
      <w:r w:rsidRPr="00713B02">
        <w:rPr>
          <w:rFonts w:cs="Arial"/>
        </w:rPr>
        <w:t xml:space="preserve">übte Sprechtext in einem zeitlichen Rahmen von </w:t>
      </w:r>
      <w:r w:rsidR="00AA09E7">
        <w:rPr>
          <w:rFonts w:cs="Arial"/>
          <w:b/>
        </w:rPr>
        <w:t>3 Min</w:t>
      </w:r>
      <w:r w:rsidR="00AA09E7" w:rsidRPr="00AA09E7">
        <w:rPr>
          <w:rFonts w:cs="Arial"/>
        </w:rPr>
        <w:t xml:space="preserve">. </w:t>
      </w:r>
      <w:r w:rsidRPr="00713B02">
        <w:rPr>
          <w:rFonts w:cs="Arial"/>
        </w:rPr>
        <w:t>realisiert.</w:t>
      </w:r>
    </w:p>
    <w:p w14:paraId="7CB9B22D" w14:textId="77777777" w:rsidR="00713B02" w:rsidRPr="00713B02" w:rsidRDefault="00713B02" w:rsidP="00AA09E7">
      <w:pPr>
        <w:spacing w:after="120" w:line="240" w:lineRule="atLeast"/>
        <w:rPr>
          <w:rFonts w:cs="Arial"/>
        </w:rPr>
      </w:pPr>
      <w:r w:rsidRPr="00713B02">
        <w:rPr>
          <w:rFonts w:cs="Arial"/>
        </w:rPr>
        <w:t>****</w:t>
      </w:r>
    </w:p>
    <w:p w14:paraId="7AF552E4" w14:textId="6D95C049" w:rsidR="00713B02" w:rsidRPr="00713B02" w:rsidRDefault="00713B02" w:rsidP="00AA09E7">
      <w:pPr>
        <w:spacing w:after="120" w:line="240" w:lineRule="atLeast"/>
        <w:rPr>
          <w:rFonts w:cs="Arial"/>
        </w:rPr>
      </w:pPr>
      <w:r w:rsidRPr="00713B02">
        <w:rPr>
          <w:rFonts w:cs="Arial"/>
        </w:rPr>
        <w:t>Da beim Sprechen die Durchführung von Beurteilungsaufgaben hins</w:t>
      </w:r>
      <w:r w:rsidR="00FC25E7">
        <w:rPr>
          <w:rFonts w:cs="Arial"/>
        </w:rPr>
        <w:t>ichtlich der Organisation grund</w:t>
      </w:r>
      <w:r w:rsidRPr="00713B02">
        <w:rPr>
          <w:rFonts w:cs="Arial"/>
        </w:rPr>
        <w:t xml:space="preserve">sätzlich aufwändig ist, wird unten ein </w:t>
      </w:r>
      <w:r w:rsidRPr="00713B02">
        <w:rPr>
          <w:rFonts w:cs="Arial"/>
          <w:b/>
        </w:rPr>
        <w:t>Vorschlag</w:t>
      </w:r>
      <w:r w:rsidRPr="00713B02">
        <w:rPr>
          <w:rFonts w:cs="Arial"/>
        </w:rPr>
        <w:t>, wie die Aufgabe dur</w:t>
      </w:r>
      <w:r w:rsidR="00FC25E7">
        <w:rPr>
          <w:rFonts w:cs="Arial"/>
        </w:rPr>
        <w:t>chgeführt werden könnte, detail</w:t>
      </w:r>
      <w:r w:rsidRPr="00713B02">
        <w:rPr>
          <w:rFonts w:cs="Arial"/>
        </w:rPr>
        <w:t xml:space="preserve">liert beschrieben. </w:t>
      </w:r>
    </w:p>
    <w:p w14:paraId="307A006C" w14:textId="4523A024" w:rsidR="00713B02" w:rsidRPr="00713B02" w:rsidRDefault="00713B02" w:rsidP="00AA09E7">
      <w:pPr>
        <w:spacing w:after="120" w:line="240" w:lineRule="atLeast"/>
        <w:rPr>
          <w:rFonts w:cs="Arial"/>
        </w:rPr>
      </w:pPr>
      <w:r w:rsidRPr="00713B02">
        <w:rPr>
          <w:rFonts w:cs="Arial"/>
          <w:b/>
        </w:rPr>
        <w:t>Vorgeschlagenes Vorgehen</w:t>
      </w:r>
      <w:r w:rsidRPr="00713B02">
        <w:rPr>
          <w:rFonts w:cs="Arial"/>
        </w:rPr>
        <w:t>: Mit den Schülerinnen und Schülern wird in der ganzen Klasse im Detail geübt, ein einfaches Flugzeug aus Papier zu falten, wobei explizit von einem entspr</w:t>
      </w:r>
      <w:r w:rsidRPr="00713B02">
        <w:rPr>
          <w:rFonts w:cs="Arial"/>
        </w:rPr>
        <w:t>e</w:t>
      </w:r>
      <w:r w:rsidRPr="00713B02">
        <w:rPr>
          <w:rFonts w:cs="Arial"/>
        </w:rPr>
        <w:t>chenden Video ausgegangen wird, wie es sich im Internet (YouTube) leicht finden l</w:t>
      </w:r>
      <w:r w:rsidR="00FC25E7">
        <w:rPr>
          <w:rFonts w:cs="Arial"/>
        </w:rPr>
        <w:t>ässt – siehe als geeignetes Bei</w:t>
      </w:r>
      <w:r w:rsidRPr="00713B02">
        <w:rPr>
          <w:rFonts w:cs="Arial"/>
        </w:rPr>
        <w:t xml:space="preserve">spiel etwa </w:t>
      </w:r>
      <w:hyperlink r:id="rId9" w:history="1">
        <w:r w:rsidRPr="00713B02">
          <w:rPr>
            <w:rStyle w:val="Hyperlink"/>
            <w:rFonts w:cs="Arial"/>
          </w:rPr>
          <w:t>http://www.youtube.com/watch?v=74v6CwEVaRk</w:t>
        </w:r>
      </w:hyperlink>
      <w:r w:rsidRPr="00713B02">
        <w:rPr>
          <w:rFonts w:cs="Arial"/>
        </w:rPr>
        <w:t>. In diesem Ko</w:t>
      </w:r>
      <w:r w:rsidRPr="00713B02">
        <w:rPr>
          <w:rFonts w:cs="Arial"/>
        </w:rPr>
        <w:t>n</w:t>
      </w:r>
      <w:r w:rsidRPr="00713B02">
        <w:rPr>
          <w:rFonts w:cs="Arial"/>
        </w:rPr>
        <w:t>text wichtige Wörter und sprachliche Wendungen werden fokussiert, evtl. zum Teil auch von den Schülerinnen und Schülern notiert. Es ist sorgfältig darauf zu achten, dass alle Lernenden das Fl</w:t>
      </w:r>
      <w:r w:rsidR="00FC25E7">
        <w:rPr>
          <w:rFonts w:cs="Arial"/>
        </w:rPr>
        <w:t>ugzeug selbstständig sicher fal</w:t>
      </w:r>
      <w:r w:rsidRPr="00713B02">
        <w:rPr>
          <w:rFonts w:cs="Arial"/>
        </w:rPr>
        <w:t>ten können. Ihre Aufgabe, analog dem Video ein unmittelbar nicht anwesendes Publikum anzuweisen, das Flugzeug zu falten – nach dem Vorbild des b</w:t>
      </w:r>
      <w:r w:rsidRPr="00713B02">
        <w:rPr>
          <w:rFonts w:cs="Arial"/>
        </w:rPr>
        <w:t>e</w:t>
      </w:r>
      <w:r w:rsidRPr="00713B02">
        <w:rPr>
          <w:rFonts w:cs="Arial"/>
        </w:rPr>
        <w:t>trachteten Videos –, wird ihnen erläutert.</w:t>
      </w:r>
    </w:p>
    <w:p w14:paraId="1A0E0B64" w14:textId="408ADFAB" w:rsidR="00713B02" w:rsidRDefault="00713B02" w:rsidP="00AA09E7">
      <w:pPr>
        <w:spacing w:line="240" w:lineRule="atLeast"/>
        <w:rPr>
          <w:rFonts w:cs="Arial"/>
        </w:rPr>
      </w:pPr>
      <w:r w:rsidRPr="00713B02">
        <w:rPr>
          <w:rFonts w:cs="Arial"/>
        </w:rPr>
        <w:t>Danach setzen sie sich in einem Raum (etwa im Klassenzimmer) mit einer aktuellen Arbeit au</w:t>
      </w:r>
      <w:r w:rsidRPr="00713B02">
        <w:rPr>
          <w:rFonts w:cs="Arial"/>
        </w:rPr>
        <w:t>s</w:t>
      </w:r>
      <w:r w:rsidR="00FC25E7">
        <w:rPr>
          <w:rFonts w:cs="Arial"/>
        </w:rPr>
        <w:t>einan</w:t>
      </w:r>
      <w:r w:rsidRPr="00713B02">
        <w:rPr>
          <w:rFonts w:cs="Arial"/>
        </w:rPr>
        <w:t>der. Sie gehen einzeln und zur richtigen Zeit in den Raum, in dem die Vorbereitung stat</w:t>
      </w:r>
      <w:r w:rsidRPr="00713B02">
        <w:rPr>
          <w:rFonts w:cs="Arial"/>
        </w:rPr>
        <w:t>t</w:t>
      </w:r>
      <w:r w:rsidR="00FC25E7">
        <w:rPr>
          <w:rFonts w:cs="Arial"/>
        </w:rPr>
        <w:t>findet, und er</w:t>
      </w:r>
      <w:r w:rsidRPr="00713B02">
        <w:rPr>
          <w:rFonts w:cs="Arial"/>
        </w:rPr>
        <w:t>halten den Auftrag in schriftlicher Form auf einem Blatt, auf dem sie sich auch Not</w:t>
      </w:r>
      <w:r w:rsidRPr="00713B02">
        <w:rPr>
          <w:rFonts w:cs="Arial"/>
        </w:rPr>
        <w:t>i</w:t>
      </w:r>
      <w:r w:rsidR="00FC25E7">
        <w:rPr>
          <w:rFonts w:cs="Arial"/>
        </w:rPr>
        <w:t>zen machen kön</w:t>
      </w:r>
      <w:r w:rsidRPr="00713B02">
        <w:rPr>
          <w:rFonts w:cs="Arial"/>
        </w:rPr>
        <w:t>nen. Sie erhalten ebenfalls das Material, das nötig ist, um das Flugzeug zu fa</w:t>
      </w:r>
      <w:r w:rsidRPr="00713B02">
        <w:rPr>
          <w:rFonts w:cs="Arial"/>
        </w:rPr>
        <w:t>l</w:t>
      </w:r>
      <w:r w:rsidRPr="00713B02">
        <w:rPr>
          <w:rFonts w:cs="Arial"/>
        </w:rPr>
        <w:t xml:space="preserve">ten, wie sie es </w:t>
      </w:r>
      <w:r w:rsidR="00FC25E7">
        <w:rPr>
          <w:rFonts w:cs="Arial"/>
        </w:rPr>
        <w:t>geübt ha</w:t>
      </w:r>
      <w:r w:rsidRPr="00713B02">
        <w:rPr>
          <w:rFonts w:cs="Arial"/>
        </w:rPr>
        <w:t xml:space="preserve">ben, und sie können das bereits gesehene Video erneut anschauen. </w:t>
      </w:r>
      <w:r w:rsidRPr="00713B02">
        <w:rPr>
          <w:rFonts w:cs="Arial"/>
          <w:b/>
        </w:rPr>
        <w:t>Wichtig</w:t>
      </w:r>
      <w:r w:rsidRPr="00713B02">
        <w:rPr>
          <w:rFonts w:cs="Arial"/>
        </w:rPr>
        <w:t xml:space="preserve"> ist, dass die Lehrerin / der Lehrer das Abspielen des Videos sorgfältig vorbereitet und sicherstellt, dass dies wunschgemäss funktioniert. Nach der Vorbereitung gehen die Schüleri</w:t>
      </w:r>
      <w:r w:rsidRPr="00713B02">
        <w:rPr>
          <w:rFonts w:cs="Arial"/>
        </w:rPr>
        <w:t>n</w:t>
      </w:r>
      <w:r w:rsidRPr="00713B02">
        <w:rPr>
          <w:rFonts w:cs="Arial"/>
        </w:rPr>
        <w:t>nen / Schüler erneut zur richtigen Zeit in den Raum, in dem sie einerseits das Anweisen realisi</w:t>
      </w:r>
      <w:r w:rsidRPr="00713B02">
        <w:rPr>
          <w:rFonts w:cs="Arial"/>
        </w:rPr>
        <w:t>e</w:t>
      </w:r>
      <w:r w:rsidRPr="00713B02">
        <w:rPr>
          <w:rFonts w:cs="Arial"/>
        </w:rPr>
        <w:t xml:space="preserve">ren – ohne auf die Notizen zurückzugreifen – und andererseits die Lehrperson das Sprechen der Lernenden beurteilt. Dabei ist es sinnvoll, das </w:t>
      </w:r>
      <w:r w:rsidRPr="00713B02">
        <w:rPr>
          <w:rFonts w:cs="Arial"/>
          <w:b/>
        </w:rPr>
        <w:t>Setting der Aufgabe entsprechend einzuric</w:t>
      </w:r>
      <w:r w:rsidRPr="00713B02">
        <w:rPr>
          <w:rFonts w:cs="Arial"/>
          <w:b/>
        </w:rPr>
        <w:t>h</w:t>
      </w:r>
      <w:r w:rsidRPr="00713B02">
        <w:rPr>
          <w:rFonts w:cs="Arial"/>
          <w:b/>
        </w:rPr>
        <w:t>ten</w:t>
      </w:r>
      <w:r w:rsidRPr="00713B02">
        <w:rPr>
          <w:rFonts w:cs="Arial"/>
        </w:rPr>
        <w:t xml:space="preserve">: Wenn es möglich ist, die Anweisungen tatsächlich als </w:t>
      </w:r>
      <w:r w:rsidRPr="00713B02">
        <w:rPr>
          <w:rFonts w:cs="Arial"/>
          <w:b/>
        </w:rPr>
        <w:t>Videos</w:t>
      </w:r>
      <w:r w:rsidRPr="00713B02">
        <w:rPr>
          <w:rFonts w:cs="Arial"/>
        </w:rPr>
        <w:t xml:space="preserve"> aufzunehmen, soll dies also getan werden. Die Schülerinnen und Schüler werden in einem solchen Fall entsprechend info</w:t>
      </w:r>
      <w:r w:rsidRPr="00713B02">
        <w:rPr>
          <w:rFonts w:cs="Arial"/>
        </w:rPr>
        <w:t>r</w:t>
      </w:r>
      <w:r w:rsidRPr="00713B02">
        <w:rPr>
          <w:rFonts w:cs="Arial"/>
        </w:rPr>
        <w:t>miert. Das Aufnehmen ermöglicht, dass die Lehrperson das Sprechen der Schülerinnen und Schüler nach der Realisation der Anweisung i</w:t>
      </w:r>
      <w:r w:rsidR="00FC25E7">
        <w:rPr>
          <w:rFonts w:cs="Arial"/>
        </w:rPr>
        <w:t>n Ruhe und somit detailliert be</w:t>
      </w:r>
      <w:r w:rsidRPr="00713B02">
        <w:rPr>
          <w:rFonts w:cs="Arial"/>
        </w:rPr>
        <w:t>urteilt, wobei die Videos gegebenenfalls wiederholt betrachtet werden.</w:t>
      </w:r>
      <w:r w:rsidR="00FC25E7">
        <w:rPr>
          <w:rFonts w:cs="Arial"/>
        </w:rPr>
        <w:t xml:space="preserve"> Schliesslich kehren die Lernen</w:t>
      </w:r>
      <w:r w:rsidRPr="00713B02">
        <w:rPr>
          <w:rFonts w:cs="Arial"/>
        </w:rPr>
        <w:t>den in den ersten Raum zurück, um sich wieder der Arbeit zuzuwenden, mit der sie sich beschäftigen.</w:t>
      </w:r>
      <w:r>
        <w:rPr>
          <w:rFonts w:cs="Arial"/>
        </w:rPr>
        <w:br w:type="page"/>
      </w:r>
    </w:p>
    <w:p w14:paraId="1D3D372F" w14:textId="77777777" w:rsidR="00DC4B45" w:rsidRDefault="00DC4B45" w:rsidP="00DC4B45">
      <w:pPr>
        <w:pStyle w:val="KurzbeschriebTitel"/>
      </w:pPr>
      <w:r w:rsidRPr="00BB1BD8">
        <w:lastRenderedPageBreak/>
        <w:t>Lösung / Korrekturanleitung / Beurteilung</w:t>
      </w:r>
    </w:p>
    <w:p w14:paraId="13D74FED" w14:textId="77777777" w:rsidR="00E94468" w:rsidRPr="00713B02" w:rsidRDefault="00E94468" w:rsidP="00AA09E7">
      <w:pPr>
        <w:spacing w:before="160" w:after="120"/>
        <w:rPr>
          <w:rStyle w:val="idcode"/>
        </w:rPr>
      </w:pPr>
      <w:r w:rsidRPr="00713B02">
        <w:rPr>
          <w:rStyle w:val="idcode"/>
          <w:rFonts w:cs="Arial"/>
          <w:color w:val="000000" w:themeColor="text1"/>
        </w:rPr>
        <w:t xml:space="preserve">Es können </w:t>
      </w:r>
      <w:r w:rsidRPr="00713B02">
        <w:rPr>
          <w:rStyle w:val="idcode"/>
          <w:rFonts w:cs="Arial"/>
          <w:b/>
          <w:color w:val="000000" w:themeColor="text1"/>
        </w:rPr>
        <w:t>12 Punkte</w:t>
      </w:r>
      <w:r w:rsidRPr="00713B02">
        <w:rPr>
          <w:rStyle w:val="idcode"/>
          <w:rFonts w:cs="Arial"/>
          <w:color w:val="000000" w:themeColor="text1"/>
        </w:rPr>
        <w:t xml:space="preserve"> erworben werden.</w:t>
      </w:r>
    </w:p>
    <w:p w14:paraId="3213E66C" w14:textId="52679908" w:rsidR="00E94468" w:rsidRPr="00713B02" w:rsidRDefault="00E94468" w:rsidP="008A057D">
      <w:pPr>
        <w:spacing w:line="240" w:lineRule="atLeast"/>
        <w:jc w:val="both"/>
        <w:rPr>
          <w:rFonts w:cs="Arial"/>
          <w:color w:val="000000" w:themeColor="text1"/>
        </w:rPr>
      </w:pPr>
      <w:r w:rsidRPr="00713B02">
        <w:rPr>
          <w:rStyle w:val="idcode"/>
          <w:rFonts w:cs="Arial"/>
          <w:color w:val="000000" w:themeColor="text1"/>
        </w:rPr>
        <w:t>Bei der Beurteilung stehen die Form und insbesondere die Spra</w:t>
      </w:r>
      <w:r w:rsidR="00AA09E7">
        <w:rPr>
          <w:rStyle w:val="idcode"/>
          <w:rFonts w:cs="Arial"/>
          <w:color w:val="000000" w:themeColor="text1"/>
        </w:rPr>
        <w:t>che im Sinn der sprachlichen Ge</w:t>
      </w:r>
      <w:r w:rsidRPr="00713B02">
        <w:rPr>
          <w:rStyle w:val="idcode"/>
          <w:rFonts w:cs="Arial"/>
          <w:color w:val="000000" w:themeColor="text1"/>
        </w:rPr>
        <w:t>staltung im Vordergrund:</w:t>
      </w:r>
    </w:p>
    <w:p w14:paraId="522E011C" w14:textId="77777777" w:rsidR="00463FD0" w:rsidRDefault="00463FD0" w:rsidP="000D778F">
      <w:pPr>
        <w:pStyle w:val="KurzbeschriebTitel"/>
      </w:pPr>
      <w:r w:rsidRPr="0019303E">
        <w:t>Beurteilung</w:t>
      </w:r>
    </w:p>
    <w:p w14:paraId="49ED7A05" w14:textId="77777777" w:rsidR="007620D2" w:rsidRDefault="007620D2" w:rsidP="00AA09E7">
      <w:pPr>
        <w:spacing w:after="0"/>
      </w:pP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060" w:firstRow="1" w:lastRow="1" w:firstColumn="0" w:lastColumn="0" w:noHBand="0" w:noVBand="0"/>
      </w:tblPr>
      <w:tblGrid>
        <w:gridCol w:w="960"/>
        <w:gridCol w:w="2722"/>
        <w:gridCol w:w="2902"/>
        <w:gridCol w:w="2901"/>
      </w:tblGrid>
      <w:tr w:rsidR="00E94468" w14:paraId="53DF3A7A" w14:textId="77777777" w:rsidTr="00DA63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04344677" w14:textId="4AC4C4DC" w:rsidR="00E94468" w:rsidRPr="008A057D" w:rsidRDefault="00E94468" w:rsidP="00E94468">
            <w:pPr>
              <w:spacing w:before="100" w:after="0" w:line="240" w:lineRule="auto"/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bottom w:val="single" w:sz="48" w:space="0" w:color="3C5D9F"/>
            </w:tcBorders>
            <w:shd w:val="clear" w:color="auto" w:fill="3C5D9F"/>
          </w:tcPr>
          <w:p w14:paraId="632AF903" w14:textId="77777777" w:rsidR="00E94468" w:rsidRPr="008A057D" w:rsidRDefault="00E94468" w:rsidP="00E94468">
            <w:pPr>
              <w:spacing w:before="100"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A057D">
              <w:rPr>
                <w:b w:val="0"/>
                <w:sz w:val="20"/>
                <w:szCs w:val="20"/>
              </w:rPr>
              <w:t>Inhalt:</w:t>
            </w:r>
          </w:p>
          <w:p w14:paraId="029FD3EA" w14:textId="77777777" w:rsidR="00E94468" w:rsidRPr="008A057D" w:rsidRDefault="00E94468" w:rsidP="00E94468">
            <w:pPr>
              <w:spacing w:before="100"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A057D">
              <w:rPr>
                <w:b w:val="0"/>
                <w:sz w:val="20"/>
                <w:szCs w:val="20"/>
              </w:rPr>
              <w:t xml:space="preserve">Relevanz; logischer </w:t>
            </w:r>
          </w:p>
          <w:p w14:paraId="647FE5EC" w14:textId="687BDA06" w:rsidR="00E94468" w:rsidRPr="008A057D" w:rsidRDefault="00E94468" w:rsidP="00E94468">
            <w:pPr>
              <w:spacing w:before="100"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A057D">
              <w:rPr>
                <w:b w:val="0"/>
                <w:sz w:val="20"/>
                <w:szCs w:val="20"/>
              </w:rPr>
              <w:t>Zusammenhang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bottom w:val="single" w:sz="48" w:space="0" w:color="3C5D9F"/>
            </w:tcBorders>
            <w:shd w:val="clear" w:color="auto" w:fill="3C5D9F"/>
          </w:tcPr>
          <w:p w14:paraId="02EE37AC" w14:textId="77777777" w:rsidR="00E94468" w:rsidRPr="008A057D" w:rsidRDefault="00E94468" w:rsidP="00E94468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Form:</w:t>
            </w:r>
          </w:p>
          <w:p w14:paraId="07DA60CF" w14:textId="77777777" w:rsidR="00E94468" w:rsidRPr="008A057D" w:rsidRDefault="00E94468" w:rsidP="00E94468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 xml:space="preserve">Textmuster und Aufbau; </w:t>
            </w:r>
          </w:p>
          <w:p w14:paraId="0F10A8A6" w14:textId="088B86C9" w:rsidR="00E94468" w:rsidRPr="008A057D" w:rsidRDefault="00E94468" w:rsidP="00E94468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Bezug zu den Hörenden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bottom w:val="single" w:sz="48" w:space="0" w:color="3C5D9F"/>
            </w:tcBorders>
            <w:shd w:val="clear" w:color="auto" w:fill="3C5D9F"/>
          </w:tcPr>
          <w:p w14:paraId="3A1277AF" w14:textId="77777777" w:rsidR="00E94468" w:rsidRPr="008A057D" w:rsidRDefault="00E94468" w:rsidP="00E94468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Sprache:</w:t>
            </w:r>
          </w:p>
          <w:p w14:paraId="71865A53" w14:textId="77777777" w:rsidR="00E94468" w:rsidRPr="008A057D" w:rsidRDefault="00E94468" w:rsidP="00E94468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Sprachliche Gestaltung;</w:t>
            </w:r>
          </w:p>
          <w:p w14:paraId="19A46C66" w14:textId="0DFC7498" w:rsidR="00E94468" w:rsidRPr="008A057D" w:rsidRDefault="00E94468" w:rsidP="00E94468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 xml:space="preserve">sprachliche Korrektheit </w:t>
            </w:r>
          </w:p>
        </w:tc>
      </w:tr>
      <w:tr w:rsidR="00E94468" w14:paraId="2AA60D53" w14:textId="77777777" w:rsidTr="00DA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5D347B7" w14:textId="49833CEA" w:rsidR="00E94468" w:rsidRPr="008A057D" w:rsidRDefault="00E94468" w:rsidP="00AA09E7">
            <w:pPr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Niveau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7318D1" w14:textId="34450CAA" w:rsidR="00E94468" w:rsidRPr="008A057D" w:rsidRDefault="00E94468" w:rsidP="00AA09E7">
            <w:pPr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Der Inhalt kann als bekannt vorausgesetzt werden. Bei der Beurteilung ist er daher wenig relevant. Doch die Sprecherin / der Sprecher soll hinsichtlich dieses I</w:t>
            </w:r>
            <w:r w:rsidRPr="008A057D">
              <w:rPr>
                <w:sz w:val="20"/>
                <w:szCs w:val="20"/>
              </w:rPr>
              <w:t>n</w:t>
            </w:r>
            <w:r w:rsidRPr="008A057D">
              <w:rPr>
                <w:sz w:val="20"/>
                <w:szCs w:val="20"/>
              </w:rPr>
              <w:t xml:space="preserve">halts </w:t>
            </w:r>
            <w:r w:rsidRPr="008A057D">
              <w:rPr>
                <w:b/>
                <w:sz w:val="20"/>
                <w:szCs w:val="20"/>
              </w:rPr>
              <w:t>überzeugend wirken</w:t>
            </w:r>
            <w:r w:rsidRPr="008A057D">
              <w:rPr>
                <w:sz w:val="20"/>
                <w:szCs w:val="20"/>
              </w:rPr>
              <w:t xml:space="preserve"> und somit Sicherheit aus-strahlen. Das Falten selbst wird dabei so wenig wie möglich beurteilt – zum Beispiel hinsichtlich der Genauigkeit.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E3F51F" w14:textId="4542F2C7" w:rsidR="0049718A" w:rsidRPr="008A057D" w:rsidRDefault="00E94468" w:rsidP="00AA09E7">
            <w:pPr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 xml:space="preserve">Die Anweisung beginnt damit, dass das </w:t>
            </w:r>
            <w:r w:rsidRPr="008A057D">
              <w:rPr>
                <w:b/>
                <w:sz w:val="20"/>
                <w:szCs w:val="20"/>
              </w:rPr>
              <w:t>Ziel</w:t>
            </w:r>
            <w:r w:rsidRPr="008A057D">
              <w:rPr>
                <w:sz w:val="20"/>
                <w:szCs w:val="20"/>
              </w:rPr>
              <w:t>, das zu erre</w:t>
            </w:r>
            <w:r w:rsidRPr="008A057D">
              <w:rPr>
                <w:sz w:val="20"/>
                <w:szCs w:val="20"/>
              </w:rPr>
              <w:t>i</w:t>
            </w:r>
            <w:r w:rsidRPr="008A057D">
              <w:rPr>
                <w:sz w:val="20"/>
                <w:szCs w:val="20"/>
              </w:rPr>
              <w:t xml:space="preserve">chen ist, explizit genannt wird. Sie ist, nachdem der Beginn als solcher gekennzeichnet ist, vor allem sinnvoll und deutlich in einzelne </w:t>
            </w:r>
            <w:r w:rsidRPr="008A057D">
              <w:rPr>
                <w:b/>
                <w:sz w:val="20"/>
                <w:szCs w:val="20"/>
              </w:rPr>
              <w:t>Arbeit</w:t>
            </w:r>
            <w:r w:rsidRPr="008A057D">
              <w:rPr>
                <w:b/>
                <w:sz w:val="20"/>
                <w:szCs w:val="20"/>
              </w:rPr>
              <w:t>s</w:t>
            </w:r>
            <w:r w:rsidRPr="008A057D">
              <w:rPr>
                <w:b/>
                <w:sz w:val="20"/>
                <w:szCs w:val="20"/>
              </w:rPr>
              <w:t>schritte</w:t>
            </w:r>
            <w:r w:rsidRPr="008A057D">
              <w:rPr>
                <w:sz w:val="20"/>
                <w:szCs w:val="20"/>
              </w:rPr>
              <w:t xml:space="preserve"> gegliedert. Auch das </w:t>
            </w:r>
            <w:r w:rsidRPr="008A057D">
              <w:rPr>
                <w:b/>
                <w:sz w:val="20"/>
                <w:szCs w:val="20"/>
              </w:rPr>
              <w:t>Ende</w:t>
            </w:r>
            <w:r w:rsidRPr="008A057D">
              <w:rPr>
                <w:sz w:val="20"/>
                <w:szCs w:val="20"/>
              </w:rPr>
              <w:t xml:space="preserve"> der Anweisung wird explizit gemacht. Der </w:t>
            </w:r>
            <w:r w:rsidRPr="008A057D">
              <w:rPr>
                <w:b/>
                <w:sz w:val="20"/>
                <w:szCs w:val="20"/>
              </w:rPr>
              <w:t>Bezug zu den Hörerinnen / Hörern</w:t>
            </w:r>
            <w:r w:rsidRPr="008A057D">
              <w:rPr>
                <w:sz w:val="20"/>
                <w:szCs w:val="20"/>
              </w:rPr>
              <w:t xml:space="preserve"> wird aufgebaut, auf</w:t>
            </w:r>
            <w:r w:rsidR="008A057D">
              <w:rPr>
                <w:sz w:val="20"/>
                <w:szCs w:val="20"/>
              </w:rPr>
              <w:t>recht</w:t>
            </w:r>
            <w:r w:rsidRPr="008A057D">
              <w:rPr>
                <w:sz w:val="20"/>
                <w:szCs w:val="20"/>
              </w:rPr>
              <w:t>erha</w:t>
            </w:r>
            <w:r w:rsidRPr="008A057D">
              <w:rPr>
                <w:sz w:val="20"/>
                <w:szCs w:val="20"/>
              </w:rPr>
              <w:t>l</w:t>
            </w:r>
            <w:r w:rsidRPr="008A057D">
              <w:rPr>
                <w:sz w:val="20"/>
                <w:szCs w:val="20"/>
              </w:rPr>
              <w:t>ten und ab und zu bekräftigt, um das Gegenüber zu ermu</w:t>
            </w:r>
            <w:r w:rsidRPr="008A057D">
              <w:rPr>
                <w:sz w:val="20"/>
                <w:szCs w:val="20"/>
              </w:rPr>
              <w:t>n</w:t>
            </w:r>
            <w:r w:rsidRPr="008A057D">
              <w:rPr>
                <w:sz w:val="20"/>
                <w:szCs w:val="20"/>
              </w:rPr>
              <w:t>tern, der Anweisung weiter zu folgen („das ist doch nicht schwer“). Bei diesem Bezug wird wie im Beispielvideo da</w:t>
            </w:r>
            <w:r w:rsidR="00AA09E7">
              <w:rPr>
                <w:sz w:val="20"/>
                <w:szCs w:val="20"/>
              </w:rPr>
              <w:t>-</w:t>
            </w:r>
            <w:r w:rsidRPr="008A057D">
              <w:rPr>
                <w:sz w:val="20"/>
                <w:szCs w:val="20"/>
              </w:rPr>
              <w:t>von ausgegangen, dass e</w:t>
            </w:r>
            <w:r w:rsidRPr="008A057D">
              <w:rPr>
                <w:sz w:val="20"/>
                <w:szCs w:val="20"/>
              </w:rPr>
              <w:t>i</w:t>
            </w:r>
            <w:r w:rsidRPr="008A057D">
              <w:rPr>
                <w:sz w:val="20"/>
                <w:szCs w:val="20"/>
              </w:rPr>
              <w:t>nem „über die Schulter g</w:t>
            </w:r>
            <w:r w:rsidRPr="008A057D">
              <w:rPr>
                <w:sz w:val="20"/>
                <w:szCs w:val="20"/>
              </w:rPr>
              <w:t>e</w:t>
            </w:r>
            <w:r w:rsidRPr="008A057D">
              <w:rPr>
                <w:sz w:val="20"/>
                <w:szCs w:val="20"/>
              </w:rPr>
              <w:t>guckt“ wird, also für das Pu</w:t>
            </w:r>
            <w:r w:rsidRPr="008A057D">
              <w:rPr>
                <w:sz w:val="20"/>
                <w:szCs w:val="20"/>
              </w:rPr>
              <w:t>b</w:t>
            </w:r>
            <w:r w:rsidRPr="008A057D">
              <w:rPr>
                <w:sz w:val="20"/>
                <w:szCs w:val="20"/>
              </w:rPr>
              <w:t>likum dort „links“ und „unten“ usw. sind, wo dies auch für die Sprecherin / den Sprecher der Fall ist. Gegebenenfalls wird eine Kamera entspr</w:t>
            </w:r>
            <w:r w:rsidRPr="008A057D">
              <w:rPr>
                <w:sz w:val="20"/>
                <w:szCs w:val="20"/>
              </w:rPr>
              <w:t>e</w:t>
            </w:r>
            <w:r w:rsidRPr="008A057D">
              <w:rPr>
                <w:sz w:val="20"/>
                <w:szCs w:val="20"/>
              </w:rPr>
              <w:t>chend positioniert.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B8BBB88" w14:textId="740CDBBA" w:rsidR="00E94468" w:rsidRPr="008A057D" w:rsidRDefault="00E94468" w:rsidP="00AA09E7">
            <w:pPr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 xml:space="preserve">Das </w:t>
            </w:r>
            <w:r w:rsidRPr="008A057D">
              <w:rPr>
                <w:b/>
                <w:sz w:val="20"/>
                <w:szCs w:val="20"/>
              </w:rPr>
              <w:t>Sprechen</w:t>
            </w:r>
            <w:r w:rsidRPr="008A057D">
              <w:rPr>
                <w:sz w:val="20"/>
                <w:szCs w:val="20"/>
              </w:rPr>
              <w:t xml:space="preserve"> ist deutlich und eher langsam, aber pr</w:t>
            </w:r>
            <w:r w:rsidRPr="008A057D">
              <w:rPr>
                <w:sz w:val="20"/>
                <w:szCs w:val="20"/>
              </w:rPr>
              <w:t>ä</w:t>
            </w:r>
            <w:r w:rsidRPr="008A057D">
              <w:rPr>
                <w:sz w:val="20"/>
                <w:szCs w:val="20"/>
              </w:rPr>
              <w:t>zis und motivierend. Dabei kann auf „wir“-Formen z</w:t>
            </w:r>
            <w:r w:rsidRPr="008A057D">
              <w:rPr>
                <w:sz w:val="20"/>
                <w:szCs w:val="20"/>
              </w:rPr>
              <w:t>u</w:t>
            </w:r>
            <w:r w:rsidRPr="008A057D">
              <w:rPr>
                <w:sz w:val="20"/>
                <w:szCs w:val="20"/>
              </w:rPr>
              <w:t xml:space="preserve">rückgegriffen werden, wie dies im Beispielvideo auch der Fall ist („wir falten …“). </w:t>
            </w:r>
            <w:r w:rsidR="00AA09E7">
              <w:rPr>
                <w:sz w:val="20"/>
                <w:szCs w:val="20"/>
              </w:rPr>
              <w:br/>
            </w:r>
            <w:r w:rsidRPr="008A057D">
              <w:rPr>
                <w:sz w:val="20"/>
                <w:szCs w:val="20"/>
              </w:rPr>
              <w:t xml:space="preserve">Es wird stets darauf geachtet, dass die </w:t>
            </w:r>
            <w:r w:rsidRPr="008A057D">
              <w:rPr>
                <w:b/>
                <w:sz w:val="20"/>
                <w:szCs w:val="20"/>
              </w:rPr>
              <w:t>Bewegungen</w:t>
            </w:r>
            <w:r w:rsidRPr="008A057D">
              <w:rPr>
                <w:sz w:val="20"/>
                <w:szCs w:val="20"/>
              </w:rPr>
              <w:t xml:space="preserve"> mit den jeweiligen Teilanweisu</w:t>
            </w:r>
            <w:r w:rsidRPr="008A057D">
              <w:rPr>
                <w:sz w:val="20"/>
                <w:szCs w:val="20"/>
              </w:rPr>
              <w:t>n</w:t>
            </w:r>
            <w:r w:rsidRPr="008A057D">
              <w:rPr>
                <w:sz w:val="20"/>
                <w:szCs w:val="20"/>
              </w:rPr>
              <w:t xml:space="preserve">gen übereinstimmen. Zum sinnvollen Einsatz gelangen auch </w:t>
            </w:r>
            <w:r w:rsidRPr="008A057D">
              <w:rPr>
                <w:b/>
                <w:sz w:val="20"/>
                <w:szCs w:val="20"/>
              </w:rPr>
              <w:t>Pausen</w:t>
            </w:r>
            <w:r w:rsidRPr="008A057D">
              <w:rPr>
                <w:sz w:val="20"/>
                <w:szCs w:val="20"/>
              </w:rPr>
              <w:t xml:space="preserve">. Die einzelnen Teilanweisungen erfolgen prägnant, wobei vor allem mit treffenden </w:t>
            </w:r>
            <w:r w:rsidRPr="008A057D">
              <w:rPr>
                <w:b/>
                <w:sz w:val="20"/>
                <w:szCs w:val="20"/>
              </w:rPr>
              <w:t>Wörtern und Wendungen</w:t>
            </w:r>
            <w:r w:rsidRPr="008A057D">
              <w:rPr>
                <w:sz w:val="20"/>
                <w:szCs w:val="20"/>
              </w:rPr>
              <w:t xml:space="preserve"> sichergestellt wird, dass die Anweisung insgesamt gut nachvollzie</w:t>
            </w:r>
            <w:r w:rsidRPr="008A057D">
              <w:rPr>
                <w:sz w:val="20"/>
                <w:szCs w:val="20"/>
              </w:rPr>
              <w:t>h</w:t>
            </w:r>
            <w:r w:rsidRPr="008A057D">
              <w:rPr>
                <w:sz w:val="20"/>
                <w:szCs w:val="20"/>
              </w:rPr>
              <w:t xml:space="preserve">bar ist („das Papier entlang der langen Seite in die Hälfte falten“). Von der Aussprache und der Grammatik her wird der Stufe adäquat </w:t>
            </w:r>
            <w:r w:rsidRPr="008A057D">
              <w:rPr>
                <w:b/>
                <w:sz w:val="20"/>
                <w:szCs w:val="20"/>
              </w:rPr>
              <w:t>korrekt</w:t>
            </w:r>
            <w:r w:rsidRPr="008A057D">
              <w:rPr>
                <w:sz w:val="20"/>
                <w:szCs w:val="20"/>
              </w:rPr>
              <w:t xml:space="preserve"> gesprochen.</w:t>
            </w:r>
          </w:p>
        </w:tc>
      </w:tr>
      <w:tr w:rsidR="00E94468" w14:paraId="5F8CDF0C" w14:textId="77777777" w:rsidTr="00DA63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B25C58F" w14:textId="77777777" w:rsidR="00E94468" w:rsidRPr="008A057D" w:rsidRDefault="00E94468" w:rsidP="00AA09E7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8425A3" w14:textId="77777777" w:rsidR="00AA09E7" w:rsidRDefault="00E94468" w:rsidP="00AA09E7">
            <w:pPr>
              <w:pStyle w:val="ListParagraph"/>
              <w:numPr>
                <w:ilvl w:val="0"/>
                <w:numId w:val="38"/>
              </w:numPr>
              <w:ind w:left="357" w:hanging="357"/>
              <w:rPr>
                <w:sz w:val="20"/>
                <w:szCs w:val="20"/>
              </w:rPr>
            </w:pPr>
            <w:r w:rsidRPr="00DA63FF">
              <w:rPr>
                <w:sz w:val="20"/>
                <w:szCs w:val="20"/>
              </w:rPr>
              <w:t>Überzeugungskraft</w:t>
            </w:r>
          </w:p>
          <w:p w14:paraId="3318DB90" w14:textId="26B6C3D9" w:rsidR="00AA09E7" w:rsidRPr="00AA09E7" w:rsidRDefault="00AA09E7" w:rsidP="00AA09E7">
            <w:pPr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64847F4" w14:textId="4CF61E44" w:rsidR="00E94468" w:rsidRPr="0049718A" w:rsidRDefault="00E94468" w:rsidP="00AA09E7">
            <w:pPr>
              <w:pStyle w:val="ListParagraph"/>
              <w:numPr>
                <w:ilvl w:val="0"/>
                <w:numId w:val="38"/>
              </w:numPr>
              <w:ind w:left="357" w:hanging="357"/>
              <w:rPr>
                <w:sz w:val="20"/>
                <w:szCs w:val="20"/>
              </w:rPr>
            </w:pPr>
            <w:r w:rsidRPr="0049718A">
              <w:rPr>
                <w:sz w:val="20"/>
                <w:szCs w:val="20"/>
              </w:rPr>
              <w:t>Ziel</w:t>
            </w:r>
          </w:p>
          <w:p w14:paraId="5DFD2EE2" w14:textId="18F4000E" w:rsidR="00E94468" w:rsidRPr="0049718A" w:rsidRDefault="00E94468" w:rsidP="00AA09E7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49718A">
              <w:rPr>
                <w:sz w:val="20"/>
                <w:szCs w:val="20"/>
              </w:rPr>
              <w:t>Beginn; einzelne Ar-</w:t>
            </w:r>
            <w:proofErr w:type="spellStart"/>
            <w:r w:rsidRPr="0049718A">
              <w:rPr>
                <w:sz w:val="20"/>
                <w:szCs w:val="20"/>
              </w:rPr>
              <w:t>beitsschritte</w:t>
            </w:r>
            <w:proofErr w:type="spellEnd"/>
            <w:r w:rsidRPr="0049718A">
              <w:rPr>
                <w:sz w:val="20"/>
                <w:szCs w:val="20"/>
              </w:rPr>
              <w:t xml:space="preserve">; Ende </w:t>
            </w:r>
          </w:p>
          <w:p w14:paraId="0C507C10" w14:textId="77777777" w:rsidR="00AA09E7" w:rsidRDefault="00DA63FF" w:rsidP="00AA09E7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Bezug zu den Hö</w:t>
            </w:r>
            <w:r w:rsidR="00E94468" w:rsidRPr="0049718A">
              <w:rPr>
                <w:sz w:val="20"/>
                <w:szCs w:val="20"/>
              </w:rPr>
              <w:t xml:space="preserve">renden </w:t>
            </w:r>
          </w:p>
          <w:p w14:paraId="34689768" w14:textId="77777777" w:rsidR="00AA09E7" w:rsidRDefault="00AA09E7" w:rsidP="00AA09E7">
            <w:pPr>
              <w:rPr>
                <w:sz w:val="20"/>
                <w:szCs w:val="20"/>
              </w:rPr>
            </w:pPr>
          </w:p>
          <w:p w14:paraId="5BABEA45" w14:textId="0D7994DC" w:rsidR="00AA09E7" w:rsidRPr="00AA09E7" w:rsidRDefault="00AA09E7" w:rsidP="00AA09E7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531443" w14:textId="77777777" w:rsidR="00E94468" w:rsidRDefault="00E94468" w:rsidP="00AA09E7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DA63FF">
              <w:rPr>
                <w:sz w:val="20"/>
                <w:szCs w:val="20"/>
              </w:rPr>
              <w:t xml:space="preserve">Sprechen </w:t>
            </w:r>
          </w:p>
          <w:p w14:paraId="4C3D3092" w14:textId="77777777" w:rsidR="00E94468" w:rsidRPr="00DA63FF" w:rsidRDefault="00E94468" w:rsidP="00AA09E7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DA63FF">
              <w:rPr>
                <w:sz w:val="20"/>
                <w:szCs w:val="20"/>
              </w:rPr>
              <w:t>Bewegungen</w:t>
            </w:r>
          </w:p>
          <w:p w14:paraId="627D2FE6" w14:textId="77777777" w:rsidR="00E94468" w:rsidRPr="00DA63FF" w:rsidRDefault="00E94468" w:rsidP="00AA09E7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DA63FF">
              <w:rPr>
                <w:sz w:val="20"/>
                <w:szCs w:val="20"/>
              </w:rPr>
              <w:t>Pausen</w:t>
            </w:r>
          </w:p>
          <w:p w14:paraId="77A362BE" w14:textId="54DC8BFB" w:rsidR="00E94468" w:rsidRPr="00DA63FF" w:rsidRDefault="00DA63FF" w:rsidP="00AA09E7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Wörter und Wen</w:t>
            </w:r>
            <w:r w:rsidR="00E94468" w:rsidRPr="00DA63FF">
              <w:rPr>
                <w:sz w:val="20"/>
                <w:szCs w:val="20"/>
              </w:rPr>
              <w:t>dungen</w:t>
            </w:r>
          </w:p>
          <w:p w14:paraId="6D47336D" w14:textId="20A5BA0D" w:rsidR="00E94468" w:rsidRPr="00DA63FF" w:rsidRDefault="00E94468" w:rsidP="00AA09E7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DA63FF">
              <w:rPr>
                <w:sz w:val="20"/>
                <w:szCs w:val="20"/>
              </w:rPr>
              <w:t>Korrektheit</w:t>
            </w:r>
          </w:p>
        </w:tc>
      </w:tr>
      <w:tr w:rsidR="008A057D" w14:paraId="3CCDE9A8" w14:textId="77777777" w:rsidTr="00DA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7F8BFCC6" w14:textId="637BAA71" w:rsidR="008A057D" w:rsidRPr="008A057D" w:rsidRDefault="008A057D" w:rsidP="008A057D">
            <w:pPr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lastRenderedPageBreak/>
              <w:t xml:space="preserve">erfüllt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86D2AA5" w14:textId="4ADA22FC" w:rsidR="008A057D" w:rsidRPr="00DA63FF" w:rsidRDefault="008A057D" w:rsidP="00DA63FF">
            <w:pPr>
              <w:pStyle w:val="Checkbox"/>
              <w:spacing w:before="0"/>
            </w:pPr>
            <w:r w:rsidRPr="00DA63FF">
              <w:t>2 Punkte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F09D960" w14:textId="284C0832" w:rsidR="008A057D" w:rsidRPr="00DA63FF" w:rsidRDefault="008A057D" w:rsidP="00DA63FF">
            <w:pPr>
              <w:pStyle w:val="Checkbox"/>
            </w:pPr>
            <w:r w:rsidRPr="00DA63FF">
              <w:t>4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7E5251F" w14:textId="0DABFB94" w:rsidR="008A057D" w:rsidRPr="00DA63FF" w:rsidRDefault="00DA63FF" w:rsidP="00DA63FF">
            <w:pPr>
              <w:pStyle w:val="Checkbox"/>
              <w:spacing w:after="0"/>
            </w:pPr>
            <w:r w:rsidRPr="00DA63FF">
              <w:t>6 Punkte</w:t>
            </w:r>
          </w:p>
        </w:tc>
      </w:tr>
      <w:tr w:rsidR="008A057D" w14:paraId="7430884B" w14:textId="77777777" w:rsidTr="00DA63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12A36065" w14:textId="77777777" w:rsidR="008A057D" w:rsidRPr="008A057D" w:rsidRDefault="008A057D" w:rsidP="008A057D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0B5BF8A" w14:textId="6831B9A2" w:rsidR="008A057D" w:rsidRPr="00DA63FF" w:rsidRDefault="008A057D" w:rsidP="00DA63FF">
            <w:pPr>
              <w:pStyle w:val="Checkbox"/>
              <w:spacing w:before="0"/>
            </w:pPr>
            <w:r w:rsidRPr="00DA63FF">
              <w:t>1½ Punkte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781C821" w14:textId="06E81C39" w:rsidR="008A057D" w:rsidRPr="00DA63FF" w:rsidRDefault="008A057D" w:rsidP="00DA63FF">
            <w:pPr>
              <w:pStyle w:val="Checkbox"/>
            </w:pPr>
            <w:r w:rsidRPr="00DA63FF">
              <w:t>3 Punkte</w:t>
            </w:r>
            <w:r w:rsidRPr="00DA63FF"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8E78044" w14:textId="075C2975" w:rsidR="008A057D" w:rsidRPr="00DA63FF" w:rsidRDefault="00DA63FF" w:rsidP="00DA63FF">
            <w:pPr>
              <w:pStyle w:val="Checkbox"/>
              <w:spacing w:after="0"/>
            </w:pPr>
            <w:r w:rsidRPr="00DA63FF">
              <w:t>4½ Punkte</w:t>
            </w:r>
          </w:p>
        </w:tc>
      </w:tr>
      <w:tr w:rsidR="008A057D" w14:paraId="3ECBE48E" w14:textId="77777777" w:rsidTr="00DA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6B6CAB84" w14:textId="674E08B3" w:rsidR="008A057D" w:rsidRPr="008A057D" w:rsidRDefault="008A057D" w:rsidP="008A057D">
            <w:pPr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teilweise</w:t>
            </w:r>
            <w:r w:rsidRPr="008A057D">
              <w:rPr>
                <w:sz w:val="20"/>
                <w:szCs w:val="20"/>
              </w:rPr>
              <w:br/>
              <w:t xml:space="preserve">erfüllt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2FCE55B" w14:textId="13B46F7C" w:rsidR="008A057D" w:rsidRPr="00DA63FF" w:rsidRDefault="008A057D" w:rsidP="00DA63FF">
            <w:pPr>
              <w:pStyle w:val="Checkbox"/>
              <w:spacing w:before="0"/>
            </w:pPr>
            <w:r w:rsidRPr="00DA63FF">
              <w:t>1 Punkt</w:t>
            </w:r>
            <w:r w:rsidRPr="00DA63FF"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AF7BE61" w14:textId="5236C723" w:rsidR="008A057D" w:rsidRPr="00DA63FF" w:rsidRDefault="008A057D" w:rsidP="00DA63FF">
            <w:pPr>
              <w:pStyle w:val="Checkbox"/>
            </w:pPr>
            <w:r w:rsidRPr="00DA63FF">
              <w:t>2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D4F85C7" w14:textId="48A3E28B" w:rsidR="008A057D" w:rsidRPr="00DA63FF" w:rsidRDefault="008A057D" w:rsidP="00DA63FF">
            <w:pPr>
              <w:pStyle w:val="Checkbox"/>
              <w:spacing w:after="0"/>
            </w:pPr>
            <w:r w:rsidRPr="00DA63FF">
              <w:t>3 Punkte</w:t>
            </w:r>
          </w:p>
        </w:tc>
      </w:tr>
      <w:tr w:rsidR="008A057D" w14:paraId="5700D995" w14:textId="77777777" w:rsidTr="00DA63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3A308C3F" w14:textId="77777777" w:rsidR="008A057D" w:rsidRPr="008A057D" w:rsidRDefault="008A057D" w:rsidP="008A057D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3810DC6" w14:textId="6FA14851" w:rsidR="008A057D" w:rsidRPr="00DA63FF" w:rsidRDefault="008A057D" w:rsidP="00DA63FF">
            <w:pPr>
              <w:pStyle w:val="Checkbox"/>
              <w:spacing w:before="0"/>
            </w:pPr>
            <w:r w:rsidRPr="00DA63FF">
              <w:t>½ Punkt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8FA4A4F" w14:textId="344245A3" w:rsidR="008A057D" w:rsidRPr="00DA63FF" w:rsidRDefault="008A057D" w:rsidP="00DA63FF">
            <w:pPr>
              <w:pStyle w:val="Checkbox"/>
            </w:pPr>
            <w:r w:rsidRPr="00DA63FF">
              <w:t>1 Punkt</w:t>
            </w:r>
            <w:r w:rsidRPr="00DA63FF"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5018965" w14:textId="6D7654D4" w:rsidR="008A057D" w:rsidRPr="00DA63FF" w:rsidRDefault="008A057D" w:rsidP="00DA63FF">
            <w:pPr>
              <w:pStyle w:val="Checkbox"/>
              <w:spacing w:after="0"/>
            </w:pPr>
            <w:r w:rsidRPr="00DA63FF">
              <w:tab/>
              <w:t>1½ Punkte</w:t>
            </w:r>
          </w:p>
        </w:tc>
      </w:tr>
      <w:tr w:rsidR="008A057D" w14:paraId="31298BFD" w14:textId="77777777" w:rsidTr="00DA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578B8C49" w14:textId="6BBE87E9" w:rsidR="008A057D" w:rsidRPr="008A057D" w:rsidRDefault="008A057D" w:rsidP="008A057D">
            <w:pPr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 xml:space="preserve">nicht erfüllt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F91A0AB" w14:textId="1ADD4911" w:rsidR="008A057D" w:rsidRPr="00DA63FF" w:rsidRDefault="008A057D" w:rsidP="00DA63FF">
            <w:pPr>
              <w:pStyle w:val="Checkbox"/>
              <w:spacing w:before="0"/>
            </w:pPr>
            <w:r w:rsidRPr="00DA63FF">
              <w:t>0 Punkte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0CD72EC" w14:textId="6F7BD4B6" w:rsidR="008A057D" w:rsidRPr="00DA63FF" w:rsidRDefault="00DA63FF" w:rsidP="00DA63FF">
            <w:pPr>
              <w:pStyle w:val="Checkbox"/>
            </w:pPr>
            <w:r w:rsidRPr="00DA63FF">
              <w:t>0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4BEA76B" w14:textId="1C034B1A" w:rsidR="008A057D" w:rsidRPr="00DA63FF" w:rsidRDefault="00DA63FF" w:rsidP="00DA63FF">
            <w:pPr>
              <w:pStyle w:val="Checkbox"/>
              <w:spacing w:after="0"/>
            </w:pPr>
            <w:r w:rsidRPr="00DA63FF">
              <w:tab/>
            </w:r>
            <w:r w:rsidR="008A057D" w:rsidRPr="00DA63FF">
              <w:t>0 Punkte</w:t>
            </w:r>
          </w:p>
        </w:tc>
      </w:tr>
      <w:tr w:rsidR="008A057D" w14:paraId="0931172D" w14:textId="77777777" w:rsidTr="00DA63F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25086923" w14:textId="77777777" w:rsidR="008A057D" w:rsidRPr="008A057D" w:rsidRDefault="008A057D" w:rsidP="0049718A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EB61CF6" w14:textId="77777777" w:rsidR="008A057D" w:rsidRPr="008A057D" w:rsidRDefault="008A057D" w:rsidP="00E9446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B81DA84" w14:textId="77777777" w:rsidR="008A057D" w:rsidRPr="008A057D" w:rsidRDefault="008A057D" w:rsidP="00E9446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FA8C8ED" w14:textId="5A6C51D0" w:rsidR="008A057D" w:rsidRPr="008A057D" w:rsidRDefault="008A057D" w:rsidP="00E94468">
            <w:pPr>
              <w:jc w:val="center"/>
              <w:rPr>
                <w:rFonts w:cs="Arial"/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Total …... von 12 Punkten</w:t>
            </w:r>
          </w:p>
        </w:tc>
      </w:tr>
    </w:tbl>
    <w:p w14:paraId="230FC2EE" w14:textId="77777777" w:rsidR="007620D2" w:rsidRPr="00C55BA0" w:rsidRDefault="007620D2" w:rsidP="00131F08"/>
    <w:sectPr w:rsidR="007620D2" w:rsidRPr="00C55BA0" w:rsidSect="00E65D23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918C7" w14:textId="77777777" w:rsidR="00C87FD8" w:rsidRDefault="00C87FD8" w:rsidP="00E61129">
      <w:pPr>
        <w:spacing w:after="0"/>
      </w:pPr>
      <w:r>
        <w:separator/>
      </w:r>
    </w:p>
  </w:endnote>
  <w:endnote w:type="continuationSeparator" w:id="0">
    <w:p w14:paraId="01F7E4D3" w14:textId="77777777" w:rsidR="00C87FD8" w:rsidRDefault="00C87FD8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5982F" w14:textId="77777777" w:rsidR="00DA63FF" w:rsidRPr="00A52340" w:rsidRDefault="00DA63F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B112BE">
        <w:rPr>
          <w:noProof/>
        </w:rPr>
        <w:t>DE01-Sp-Anweisen - Falten eines Papierflugzeugs nach Vorlage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B112BE" w:rsidRPr="00B112BE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B112BE" w:rsidRPr="00B112BE">
        <w:rPr>
          <w:noProof/>
          <w:lang w:val="de-DE"/>
        </w:rPr>
        <w:t>3</w:t>
      </w:r>
    </w:fldSimple>
  </w:p>
  <w:p w14:paraId="6EFC308B" w14:textId="77777777" w:rsidR="00DA63FF" w:rsidRDefault="00DA63F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93481" w14:textId="77777777" w:rsidR="00DA63FF" w:rsidRDefault="00DA63F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B112BE">
        <w:rPr>
          <w:noProof/>
        </w:rPr>
        <w:t>DE01-Sp-Anweisen - Falten eines Papierflugzeugs nach Vorlage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B112BE" w:rsidRPr="00B112BE">
        <w:rPr>
          <w:noProof/>
          <w:lang w:val="de-DE"/>
        </w:rPr>
        <w:t>3</w:t>
      </w:r>
    </w:fldSimple>
  </w:p>
  <w:p w14:paraId="75A032B2" w14:textId="77777777" w:rsidR="00DA63FF" w:rsidRDefault="00DA63F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CC317" w14:textId="77777777" w:rsidR="00C87FD8" w:rsidRDefault="00C87FD8" w:rsidP="00E61129">
      <w:pPr>
        <w:spacing w:after="0"/>
      </w:pPr>
      <w:r>
        <w:separator/>
      </w:r>
    </w:p>
  </w:footnote>
  <w:footnote w:type="continuationSeparator" w:id="0">
    <w:p w14:paraId="5C41F436" w14:textId="77777777" w:rsidR="00C87FD8" w:rsidRDefault="00C87FD8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F0549" w14:textId="77777777" w:rsidR="00DA63FF" w:rsidRPr="00F25B93" w:rsidRDefault="00DA63FF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B92DF92" wp14:editId="1C97A41B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8B7B03" w14:textId="77777777" w:rsidR="00DA63FF" w:rsidRPr="00BB20F6" w:rsidRDefault="00DA63FF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1D8B7B03" w14:textId="77777777" w:rsidR="00DA63FF" w:rsidRPr="00BB20F6" w:rsidRDefault="00DA63FF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07F5EE7" wp14:editId="31687526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F62F33F" wp14:editId="621A7EF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D854EA4" wp14:editId="6E26AC43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CAB7981" wp14:editId="39612AB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B1B5E7" wp14:editId="3F9C5AE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25EB8C" w14:textId="77777777" w:rsidR="00DA63FF" w:rsidRDefault="00DA63FF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4625EB8C" w14:textId="77777777" w:rsidR="00DA63FF" w:rsidRDefault="00DA63FF" w:rsidP="00F25B93"/>
                </w:txbxContent>
              </v:textbox>
            </v:shape>
          </w:pict>
        </mc:Fallback>
      </mc:AlternateContent>
    </w:r>
  </w:p>
  <w:p w14:paraId="09DA99F0" w14:textId="77777777" w:rsidR="00DA63FF" w:rsidRDefault="00DA63F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C59012C" wp14:editId="2D8EF55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941E7" w14:textId="77777777" w:rsidR="00DA63FF" w:rsidRDefault="00DA63F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066C3ED" wp14:editId="61773336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4F48FD6" wp14:editId="253EC9D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4D18F9F" wp14:editId="267FBD2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D883459" wp14:editId="3D4CF02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A50BDD" wp14:editId="15C4EA0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480A89" w14:textId="77777777" w:rsidR="00DA63FF" w:rsidRDefault="00DA63FF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DC9046E" w14:textId="77777777" w:rsidR="00DA63FF" w:rsidRDefault="00DA63F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63480A89" w14:textId="77777777" w:rsidR="00DA63FF" w:rsidRDefault="00DA63FF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DC9046E" w14:textId="77777777" w:rsidR="00DA63FF" w:rsidRDefault="00DA63F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E524EEE" wp14:editId="76AAD22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BD1B27" w14:textId="77777777" w:rsidR="00DA63FF" w:rsidRPr="00093725" w:rsidRDefault="00DA63FF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3C79FE1" w14:textId="77777777" w:rsidR="00DA63FF" w:rsidRPr="007C58BB" w:rsidRDefault="00DA63FF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5ABD1B27" w14:textId="77777777" w:rsidR="00DA63FF" w:rsidRPr="00093725" w:rsidRDefault="00DA63FF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3C79FE1" w14:textId="77777777" w:rsidR="00DA63FF" w:rsidRPr="007C58BB" w:rsidRDefault="00DA63F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4C3BBE" wp14:editId="119CB654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40B60E0" wp14:editId="0390393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02F8F"/>
    <w:multiLevelType w:val="hybridMultilevel"/>
    <w:tmpl w:val="9CF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149DF"/>
    <w:multiLevelType w:val="hybridMultilevel"/>
    <w:tmpl w:val="24C04AE2"/>
    <w:lvl w:ilvl="0" w:tplc="EFA41580">
      <w:start w:val="3"/>
      <w:numFmt w:val="bullet"/>
      <w:lvlText w:val="–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C21DB0"/>
    <w:multiLevelType w:val="hybridMultilevel"/>
    <w:tmpl w:val="5E64794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F143AFC"/>
    <w:multiLevelType w:val="hybridMultilevel"/>
    <w:tmpl w:val="4364E6F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0317000"/>
    <w:multiLevelType w:val="hybridMultilevel"/>
    <w:tmpl w:val="3D6E31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>
    <w:nsid w:val="73834372"/>
    <w:multiLevelType w:val="hybridMultilevel"/>
    <w:tmpl w:val="91D651A8"/>
    <w:lvl w:ilvl="0" w:tplc="F078ECA0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9">
    <w:nsid w:val="75312239"/>
    <w:multiLevelType w:val="hybridMultilevel"/>
    <w:tmpl w:val="DC1CD25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1E6252"/>
    <w:multiLevelType w:val="hybridMultilevel"/>
    <w:tmpl w:val="5FBC4AB4"/>
    <w:lvl w:ilvl="0" w:tplc="5E8442A8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20"/>
  </w:num>
  <w:num w:numId="7">
    <w:abstractNumId w:val="24"/>
  </w:num>
  <w:num w:numId="8">
    <w:abstractNumId w:val="12"/>
  </w:num>
  <w:num w:numId="9">
    <w:abstractNumId w:val="28"/>
  </w:num>
  <w:num w:numId="10">
    <w:abstractNumId w:val="2"/>
  </w:num>
  <w:num w:numId="11">
    <w:abstractNumId w:val="8"/>
  </w:num>
  <w:num w:numId="12">
    <w:abstractNumId w:val="26"/>
  </w:num>
  <w:num w:numId="13">
    <w:abstractNumId w:val="26"/>
  </w:num>
  <w:num w:numId="14">
    <w:abstractNumId w:val="26"/>
  </w:num>
  <w:num w:numId="15">
    <w:abstractNumId w:val="26"/>
  </w:num>
  <w:num w:numId="16">
    <w:abstractNumId w:val="26"/>
  </w:num>
  <w:num w:numId="17">
    <w:abstractNumId w:val="16"/>
  </w:num>
  <w:num w:numId="18">
    <w:abstractNumId w:val="15"/>
  </w:num>
  <w:num w:numId="19">
    <w:abstractNumId w:val="0"/>
  </w:num>
  <w:num w:numId="20">
    <w:abstractNumId w:val="23"/>
  </w:num>
  <w:num w:numId="21">
    <w:abstractNumId w:val="20"/>
  </w:num>
  <w:num w:numId="22">
    <w:abstractNumId w:val="5"/>
  </w:num>
  <w:num w:numId="23">
    <w:abstractNumId w:val="13"/>
  </w:num>
  <w:num w:numId="24">
    <w:abstractNumId w:val="4"/>
  </w:num>
  <w:num w:numId="25">
    <w:abstractNumId w:val="11"/>
  </w:num>
  <w:num w:numId="26">
    <w:abstractNumId w:val="25"/>
  </w:num>
  <w:num w:numId="27">
    <w:abstractNumId w:val="19"/>
  </w:num>
  <w:num w:numId="28">
    <w:abstractNumId w:val="30"/>
  </w:num>
  <w:num w:numId="29">
    <w:abstractNumId w:val="18"/>
  </w:num>
  <w:num w:numId="30">
    <w:abstractNumId w:val="14"/>
  </w:num>
  <w:num w:numId="31">
    <w:abstractNumId w:val="3"/>
  </w:num>
  <w:num w:numId="32">
    <w:abstractNumId w:val="1"/>
  </w:num>
  <w:num w:numId="33">
    <w:abstractNumId w:val="17"/>
  </w:num>
  <w:num w:numId="34">
    <w:abstractNumId w:val="10"/>
  </w:num>
  <w:num w:numId="35">
    <w:abstractNumId w:val="29"/>
  </w:num>
  <w:num w:numId="36">
    <w:abstractNumId w:val="21"/>
  </w:num>
  <w:num w:numId="37">
    <w:abstractNumId w:val="9"/>
  </w:num>
  <w:num w:numId="38">
    <w:abstractNumId w:val="22"/>
  </w:num>
  <w:num w:numId="39">
    <w:abstractNumId w:val="30"/>
  </w:num>
  <w:num w:numId="40">
    <w:abstractNumId w:val="30"/>
  </w:num>
  <w:num w:numId="41">
    <w:abstractNumId w:val="30"/>
  </w:num>
  <w:num w:numId="42">
    <w:abstractNumId w:val="30"/>
  </w:num>
  <w:num w:numId="43">
    <w:abstractNumId w:val="30"/>
  </w:num>
  <w:num w:numId="44">
    <w:abstractNumId w:val="30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33"/>
    <w:rsid w:val="000234B5"/>
    <w:rsid w:val="00027A8D"/>
    <w:rsid w:val="00046A29"/>
    <w:rsid w:val="00062AEB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B1702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4F6C"/>
    <w:rsid w:val="00496374"/>
    <w:rsid w:val="0049718A"/>
    <w:rsid w:val="004B3579"/>
    <w:rsid w:val="004B4EB6"/>
    <w:rsid w:val="004C17BE"/>
    <w:rsid w:val="004C67C9"/>
    <w:rsid w:val="004D606A"/>
    <w:rsid w:val="004F3CED"/>
    <w:rsid w:val="004F407C"/>
    <w:rsid w:val="00510AEA"/>
    <w:rsid w:val="00515202"/>
    <w:rsid w:val="005213CD"/>
    <w:rsid w:val="00530276"/>
    <w:rsid w:val="005404AA"/>
    <w:rsid w:val="00556BE1"/>
    <w:rsid w:val="00562EDF"/>
    <w:rsid w:val="005651FA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24B5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3B02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97D03"/>
    <w:rsid w:val="008A057D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1033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A09E7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112BE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87FD8"/>
    <w:rsid w:val="00C957D0"/>
    <w:rsid w:val="00CA0082"/>
    <w:rsid w:val="00CA6C8E"/>
    <w:rsid w:val="00CC2326"/>
    <w:rsid w:val="00CE3698"/>
    <w:rsid w:val="00CE3B4C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3FF"/>
    <w:rsid w:val="00DA6D2C"/>
    <w:rsid w:val="00DC0400"/>
    <w:rsid w:val="00DC4B45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4468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5E7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7370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13B02"/>
    <w:pPr>
      <w:numPr>
        <w:numId w:val="45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DA63FF"/>
    <w:pPr>
      <w:numPr>
        <w:numId w:val="28"/>
      </w:numPr>
      <w:tabs>
        <w:tab w:val="left" w:pos="510"/>
      </w:tabs>
      <w:spacing w:before="100"/>
    </w:pPr>
    <w:rPr>
      <w:color w:val="000000" w:themeColor="text1"/>
    </w:r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13B02"/>
    <w:pPr>
      <w:numPr>
        <w:numId w:val="45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DA63FF"/>
    <w:pPr>
      <w:numPr>
        <w:numId w:val="28"/>
      </w:numPr>
      <w:tabs>
        <w:tab w:val="left" w:pos="510"/>
      </w:tabs>
      <w:spacing w:before="100"/>
    </w:pPr>
    <w:rPr>
      <w:color w:val="000000" w:themeColor="text1"/>
    </w:r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youtube.com/watch?v=74v6CwEVaRk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AAAC5-3474-7C4F-A9BC-53B6E4D3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5118</Characters>
  <Application>Microsoft Macintosh Word</Application>
  <DocSecurity>0</DocSecurity>
  <Lines>42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6003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13</cp:revision>
  <cp:lastPrinted>2014-10-21T10:39:00Z</cp:lastPrinted>
  <dcterms:created xsi:type="dcterms:W3CDTF">2014-09-08T10:29:00Z</dcterms:created>
  <dcterms:modified xsi:type="dcterms:W3CDTF">2014-10-21T10:39:00Z</dcterms:modified>
  <cp:category/>
</cp:coreProperties>
</file>